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80" w:after="480" w:line="288" w:lineRule="auto"/>
        <w:jc w:val="center"/>
        <w:rPr>
          <w:rFonts w:hint="eastAsia"/>
        </w:rPr>
      </w:pPr>
      <w:r>
        <w:rPr>
          <w:rFonts w:ascii="Arial" w:hAnsi="Arial" w:eastAsia="等线" w:cs="Arial"/>
          <w:b/>
          <w:sz w:val="52"/>
        </w:rPr>
        <w:t>俄罗斯耕地全产业链开发项目概念性规划（2027-2036年）</w:t>
      </w:r>
    </w:p>
    <w:p>
      <w:pPr>
        <w:spacing w:before="120" w:after="120" w:line="288" w:lineRule="auto"/>
        <w:rPr>
          <w:rFonts w:hint="eastAsia"/>
        </w:rPr>
      </w:pPr>
      <w:r>
        <w:rPr>
          <w:rFonts w:ascii="Arial" w:hAnsi="Arial" w:eastAsia="等线" w:cs="Arial"/>
          <w:b/>
        </w:rPr>
        <w:t>牵头主体</w:t>
      </w:r>
      <w:r>
        <w:rPr>
          <w:rFonts w:ascii="Arial" w:hAnsi="Arial" w:eastAsia="等线" w:cs="Arial"/>
        </w:rPr>
        <w:t>：中海外集团（中央管理企业）</w:t>
      </w:r>
    </w:p>
    <w:p>
      <w:pPr>
        <w:spacing w:before="120" w:after="120" w:line="288" w:lineRule="auto"/>
        <w:rPr>
          <w:rFonts w:hint="eastAsia"/>
        </w:rPr>
      </w:pPr>
      <w:r>
        <w:rPr>
          <w:rFonts w:ascii="Arial" w:hAnsi="Arial" w:eastAsia="等线" w:cs="Arial"/>
          <w:b/>
        </w:rPr>
        <w:t>统筹实施单位</w:t>
      </w:r>
      <w:r>
        <w:rPr>
          <w:rFonts w:ascii="Arial" w:hAnsi="Arial" w:eastAsia="等线" w:cs="Arial"/>
        </w:rPr>
        <w:t>：黑土农业(北京)有限公司（中海外集团全资子公司）</w:t>
      </w:r>
    </w:p>
    <w:p>
      <w:pPr>
        <w:spacing w:before="120" w:after="120" w:line="288" w:lineRule="auto"/>
        <w:rPr>
          <w:rFonts w:hint="eastAsia"/>
        </w:rPr>
      </w:pPr>
      <w:r>
        <w:rPr>
          <w:rFonts w:ascii="Arial" w:hAnsi="Arial" w:eastAsia="等线" w:cs="Arial"/>
          <w:b/>
        </w:rPr>
        <w:t>分板块实施单位</w:t>
      </w:r>
      <w:r>
        <w:rPr>
          <w:rFonts w:ascii="Arial" w:hAnsi="Arial" w:eastAsia="等线" w:cs="Arial"/>
        </w:rPr>
        <w:t>：黑龙江垚华农业发展有限公司、垚泰园区管理（黑龙江）有限公司、黑龙江自贸区绥芬河片区任飞国际贸易有限公司、国内头部走出去物流企业联合运营体</w:t>
      </w:r>
    </w:p>
    <w:p>
      <w:pPr>
        <w:spacing w:before="120" w:after="120" w:line="288" w:lineRule="auto"/>
        <w:rPr>
          <w:rFonts w:hint="eastAsia"/>
        </w:rPr>
      </w:pPr>
      <w:r>
        <w:rPr>
          <w:rFonts w:ascii="Arial" w:hAnsi="Arial" w:eastAsia="等线" w:cs="Arial"/>
          <w:b/>
        </w:rPr>
        <w:t>规划基准年</w:t>
      </w:r>
      <w:r>
        <w:rPr>
          <w:rFonts w:ascii="Arial" w:hAnsi="Arial" w:eastAsia="等线" w:cs="Arial"/>
        </w:rPr>
        <w:t>：2026年</w:t>
      </w:r>
    </w:p>
    <w:p>
      <w:pPr>
        <w:spacing w:before="120" w:after="120" w:line="288" w:lineRule="auto"/>
        <w:rPr>
          <w:rFonts w:hint="eastAsia"/>
        </w:rPr>
      </w:pPr>
      <w:r>
        <w:rPr>
          <w:rFonts w:ascii="Arial" w:hAnsi="Arial" w:eastAsia="等线" w:cs="Arial"/>
          <w:b/>
        </w:rPr>
        <w:t>规划期限</w:t>
      </w:r>
      <w:r>
        <w:rPr>
          <w:rFonts w:ascii="Arial" w:hAnsi="Arial" w:eastAsia="等线" w:cs="Arial"/>
        </w:rPr>
        <w:t>：2027-2036年，分三期实施</w:t>
      </w:r>
    </w:p>
    <w:p>
      <w:pPr>
        <w:spacing w:before="120" w:after="120" w:line="288" w:lineRule="auto"/>
        <w:rPr>
          <w:rFonts w:hint="eastAsia"/>
        </w:rPr>
      </w:pPr>
      <w:r>
        <w:rPr>
          <w:rFonts w:ascii="Arial" w:hAnsi="Arial" w:eastAsia="等线" w:cs="Arial"/>
          <w:b/>
        </w:rPr>
        <w:t>规划核心依据</w:t>
      </w:r>
      <w:r>
        <w:rPr>
          <w:rFonts w:ascii="Arial" w:hAnsi="Arial" w:eastAsia="等线" w:cs="Arial"/>
        </w:rPr>
        <w:t>：</w:t>
      </w:r>
    </w:p>
    <w:p>
      <w:pPr>
        <w:numPr>
          <w:ilvl w:val="0"/>
          <w:numId w:val="1"/>
        </w:numPr>
        <w:spacing w:before="120" w:after="120" w:line="288" w:lineRule="auto"/>
        <w:rPr>
          <w:rFonts w:hint="eastAsia"/>
        </w:rPr>
      </w:pPr>
      <w:r>
        <w:rPr>
          <w:rFonts w:ascii="Arial" w:hAnsi="Arial" w:eastAsia="等线" w:cs="Arial"/>
        </w:rPr>
        <w:t>《俄罗斯耕地全产业链开发项目可行性研究报告（2025数据更新版）》</w:t>
      </w:r>
    </w:p>
    <w:p>
      <w:pPr>
        <w:numPr>
          <w:ilvl w:val="0"/>
          <w:numId w:val="2"/>
        </w:numPr>
        <w:spacing w:before="120" w:after="120" w:line="288" w:lineRule="auto"/>
        <w:rPr>
          <w:rFonts w:hint="eastAsia"/>
        </w:rPr>
      </w:pPr>
      <w:r>
        <w:rPr>
          <w:rFonts w:ascii="Arial" w:hAnsi="Arial" w:eastAsia="等线" w:cs="Arial"/>
        </w:rPr>
        <w:t>《俄罗斯耕地全产业链开发项目概念性规划（2025数据更新版）》</w:t>
      </w:r>
    </w:p>
    <w:p>
      <w:pPr>
        <w:numPr>
          <w:ilvl w:val="0"/>
          <w:numId w:val="3"/>
        </w:numPr>
        <w:spacing w:before="120" w:after="120" w:line="288" w:lineRule="auto"/>
        <w:rPr>
          <w:rFonts w:hint="eastAsia"/>
        </w:rPr>
      </w:pPr>
      <w:r>
        <w:rPr>
          <w:rFonts w:ascii="Arial" w:hAnsi="Arial" w:eastAsia="等线" w:cs="Arial"/>
        </w:rPr>
        <w:t>《俄罗斯北方海航道与内河粮食出口航运体系建设项目可行性研究报告》</w:t>
      </w:r>
    </w:p>
    <w:p>
      <w:pPr>
        <w:numPr>
          <w:ilvl w:val="0"/>
          <w:numId w:val="4"/>
        </w:numPr>
        <w:spacing w:before="120" w:after="120" w:line="288" w:lineRule="auto"/>
        <w:rPr>
          <w:rFonts w:hint="eastAsia"/>
        </w:rPr>
      </w:pPr>
      <w:r>
        <w:rPr>
          <w:rFonts w:ascii="Arial" w:hAnsi="Arial" w:eastAsia="等线" w:cs="Arial"/>
        </w:rPr>
        <w:t>《俄罗斯北方海航道与内河粮食出口航运系统概念性规划（2027-2036年）》</w:t>
      </w:r>
    </w:p>
    <w:p>
      <w:pPr>
        <w:numPr>
          <w:ilvl w:val="0"/>
          <w:numId w:val="5"/>
        </w:numPr>
        <w:spacing w:before="120" w:after="120" w:line="288" w:lineRule="auto"/>
        <w:rPr>
          <w:rFonts w:hint="eastAsia"/>
        </w:rPr>
      </w:pPr>
      <w:r>
        <w:rPr>
          <w:rFonts w:ascii="Arial" w:hAnsi="Arial" w:eastAsia="等线" w:cs="Arial"/>
        </w:rPr>
        <w:t>《中华人民共和国政府和俄罗斯联邦政府关于促进和相互保护投资的协定》（2025年）、《中俄总理第三十次定期会晤联合公报》（2025年）</w:t>
      </w:r>
    </w:p>
    <w:p>
      <w:pPr>
        <w:numPr>
          <w:ilvl w:val="0"/>
          <w:numId w:val="6"/>
        </w:numPr>
        <w:spacing w:before="120" w:after="120" w:line="288" w:lineRule="auto"/>
        <w:rPr>
          <w:rFonts w:hint="eastAsia"/>
        </w:rPr>
      </w:pPr>
      <w:r>
        <w:rPr>
          <w:rFonts w:ascii="Arial" w:hAnsi="Arial" w:eastAsia="等线" w:cs="Arial"/>
        </w:rPr>
        <w:t>俄罗斯联邦《国际超前发展区法》《农业发展法》《北极地区开发法》、中俄跨境交通与农业合作双边协定</w:t>
      </w:r>
    </w:p>
    <w:p>
      <w:pPr>
        <w:spacing w:before="320" w:after="120" w:line="288" w:lineRule="auto"/>
        <w:outlineLvl w:val="1"/>
        <w:rPr>
          <w:rFonts w:hint="eastAsia"/>
        </w:rPr>
      </w:pPr>
      <w:bookmarkStart w:id="0" w:name="heading_0"/>
      <w:r>
        <w:rPr>
          <w:rFonts w:ascii="Arial" w:hAnsi="Arial" w:eastAsia="等线" w:cs="Arial"/>
          <w:b/>
          <w:sz w:val="32"/>
        </w:rPr>
        <w:t>一、规划总则</w:t>
      </w:r>
      <w:bookmarkEnd w:id="0"/>
    </w:p>
    <w:p>
      <w:pPr>
        <w:spacing w:before="300" w:after="120" w:line="288" w:lineRule="auto"/>
        <w:outlineLvl w:val="2"/>
        <w:rPr>
          <w:rFonts w:hint="eastAsia"/>
        </w:rPr>
      </w:pPr>
      <w:bookmarkStart w:id="1" w:name="heading_1"/>
      <w:r>
        <w:rPr>
          <w:rFonts w:ascii="Arial" w:hAnsi="Arial" w:eastAsia="等线" w:cs="Arial"/>
          <w:b/>
          <w:sz w:val="30"/>
        </w:rPr>
        <w:t>（一）规划定位</w:t>
      </w:r>
      <w:bookmarkEnd w:id="1"/>
    </w:p>
    <w:p>
      <w:pPr>
        <w:spacing w:before="120" w:after="120" w:line="288" w:lineRule="auto"/>
        <w:rPr>
          <w:rFonts w:hint="eastAsia"/>
        </w:rPr>
      </w:pPr>
      <w:r>
        <w:rPr>
          <w:rFonts w:ascii="Arial" w:hAnsi="Arial" w:eastAsia="等线" w:cs="Arial"/>
        </w:rPr>
        <w:t>本规划以保障国家粮食安全为核心使命，以中俄新时代全面战略协作伙伴关系为政策依托，以俄罗斯优质耕地资源开发为核心基础，构建“规模化种植+全品类加工+本土化配套+全链路物流+境内集中结算”的闭环全产业链体系。同步打造中俄双国家级境外经贸合作区载体，打通北方海航道+内河航运低成本粮食出口通道，破解俄罗斯对华粮食出口铁路物流瓶颈，建成国家级粮食安全海外核心保障基地、中俄农业全产业链合作标杆、中资企业抱团出海示范平台、北极开发与远东振兴协同发展载体。</w:t>
      </w:r>
    </w:p>
    <w:p>
      <w:pPr>
        <w:spacing w:before="300" w:after="120" w:line="288" w:lineRule="auto"/>
        <w:outlineLvl w:val="2"/>
        <w:rPr>
          <w:rFonts w:hint="eastAsia"/>
        </w:rPr>
      </w:pPr>
      <w:bookmarkStart w:id="2" w:name="heading_2"/>
      <w:r>
        <w:rPr>
          <w:rFonts w:ascii="Arial" w:hAnsi="Arial" w:eastAsia="等线" w:cs="Arial"/>
          <w:b/>
          <w:sz w:val="30"/>
        </w:rPr>
        <w:t>（二）规划范围</w:t>
      </w:r>
      <w:bookmarkEnd w:id="2"/>
    </w:p>
    <w:p>
      <w:pPr>
        <w:numPr>
          <w:ilvl w:val="0"/>
          <w:numId w:val="7"/>
        </w:numPr>
        <w:spacing w:before="120" w:after="120" w:line="288" w:lineRule="auto"/>
        <w:rPr>
          <w:rFonts w:hint="eastAsia"/>
        </w:rPr>
      </w:pPr>
      <w:r>
        <w:rPr>
          <w:rFonts w:ascii="Arial" w:hAnsi="Arial" w:eastAsia="等线" w:cs="Arial"/>
          <w:b/>
        </w:rPr>
        <w:t>耕地资源范围</w:t>
      </w:r>
      <w:r>
        <w:rPr>
          <w:rFonts w:ascii="Arial" w:hAnsi="Arial" w:eastAsia="等线" w:cs="Arial"/>
        </w:rPr>
        <w:t>：确权俄罗斯优质耕地，其中中部伏尔加河-顿河流域黑土区1亿亩、西部东欧平原核心产区8000万亩、远东滨海边疆区及阿穆尔州南部平原7000万亩，全面覆盖俄罗斯核心黑土带与农业主产区。</w:t>
      </w:r>
    </w:p>
    <w:p>
      <w:pPr>
        <w:numPr>
          <w:ilvl w:val="0"/>
          <w:numId w:val="8"/>
        </w:numPr>
        <w:spacing w:before="120" w:after="120" w:line="288" w:lineRule="auto"/>
        <w:rPr>
          <w:rFonts w:hint="eastAsia"/>
        </w:rPr>
      </w:pPr>
      <w:r>
        <w:rPr>
          <w:rFonts w:ascii="Arial" w:hAnsi="Arial" w:eastAsia="等线" w:cs="Arial"/>
          <w:b/>
        </w:rPr>
        <w:t>产业载体范围</w:t>
      </w:r>
      <w:r>
        <w:rPr>
          <w:rFonts w:ascii="Arial" w:hAnsi="Arial" w:eastAsia="等线" w:cs="Arial"/>
        </w:rPr>
        <w:t>：总规划占地面积3836.99万亩，含三大核心境外经贸合作区、中俄“两国双园”跨境协作载体、双跨境物流通道、虎列铁路专用线配套板块，同步覆盖北方海航道俄罗斯管辖水域、四大内河航运走廊全流域。</w:t>
      </w:r>
    </w:p>
    <w:p>
      <w:pPr>
        <w:numPr>
          <w:ilvl w:val="0"/>
          <w:numId w:val="9"/>
        </w:numPr>
        <w:spacing w:before="120" w:after="120" w:line="288" w:lineRule="auto"/>
        <w:rPr>
          <w:rFonts w:hint="eastAsia"/>
        </w:rPr>
      </w:pPr>
      <w:r>
        <w:rPr>
          <w:rFonts w:ascii="Arial" w:hAnsi="Arial" w:eastAsia="等线" w:cs="Arial"/>
          <w:b/>
        </w:rPr>
        <w:t>辐射范围</w:t>
      </w:r>
      <w:r>
        <w:rPr>
          <w:rFonts w:ascii="Arial" w:hAnsi="Arial" w:eastAsia="等线" w:cs="Arial"/>
        </w:rPr>
        <w:t>：产业体系辐射俄罗斯西伯利亚、远东、北极地区全区域，粮食出口网络覆盖中国北方、长三角、珠三角核心港口，同步拓展东南亚、欧洲、东北亚国际市场。</w:t>
      </w:r>
    </w:p>
    <w:p>
      <w:pPr>
        <w:spacing w:before="300" w:after="120" w:line="288" w:lineRule="auto"/>
        <w:outlineLvl w:val="2"/>
        <w:rPr>
          <w:rFonts w:hint="eastAsia"/>
        </w:rPr>
      </w:pPr>
      <w:bookmarkStart w:id="3" w:name="heading_3"/>
      <w:r>
        <w:rPr>
          <w:rFonts w:ascii="Arial" w:hAnsi="Arial" w:eastAsia="等线" w:cs="Arial"/>
          <w:b/>
          <w:sz w:val="30"/>
        </w:rPr>
        <w:t>（三）规划期限</w:t>
      </w:r>
      <w:bookmarkEnd w:id="3"/>
    </w:p>
    <w:p>
      <w:pPr>
        <w:spacing w:before="120" w:after="120" w:line="288" w:lineRule="auto"/>
        <w:rPr>
          <w:rFonts w:hint="eastAsia"/>
        </w:rPr>
      </w:pPr>
      <w:r>
        <w:rPr>
          <w:rFonts w:ascii="Arial" w:hAnsi="Arial" w:eastAsia="等线" w:cs="Arial"/>
        </w:rPr>
        <w:t>本规划总期限10年，与俄罗斯耕地开发政策锁定周期、境外经贸合作区考核周期、北方海航道航运体系建设周期精准匹配，分三个阶段实施：</w:t>
      </w:r>
    </w:p>
    <w:p>
      <w:pPr>
        <w:numPr>
          <w:ilvl w:val="0"/>
          <w:numId w:val="10"/>
        </w:numPr>
        <w:spacing w:before="120" w:after="120" w:line="288" w:lineRule="auto"/>
        <w:rPr>
          <w:rFonts w:hint="eastAsia"/>
        </w:rPr>
      </w:pPr>
      <w:r>
        <w:rPr>
          <w:rFonts w:ascii="Arial" w:hAnsi="Arial" w:eastAsia="等线" w:cs="Arial"/>
          <w:b/>
        </w:rPr>
        <w:t>启动建设期（2027-2030年）</w:t>
      </w:r>
      <w:r>
        <w:rPr>
          <w:rFonts w:ascii="Arial" w:hAnsi="Arial" w:eastAsia="等线" w:cs="Arial"/>
        </w:rPr>
        <w:t>：完成耕地及配套建设用地权属确权，三大核心园区通过境外经贸合作区初审，建成双物流通道试点工程，实现试点种植面积8000万亩，粮食年产能达1800万吨，航运体系试点运力550万吨/年。</w:t>
      </w:r>
    </w:p>
    <w:p>
      <w:pPr>
        <w:numPr>
          <w:ilvl w:val="0"/>
          <w:numId w:val="11"/>
        </w:numPr>
        <w:spacing w:before="120" w:after="120" w:line="288" w:lineRule="auto"/>
        <w:rPr>
          <w:rFonts w:hint="eastAsia"/>
        </w:rPr>
      </w:pPr>
      <w:r>
        <w:rPr>
          <w:rFonts w:ascii="Arial" w:hAnsi="Arial" w:eastAsia="等线" w:cs="Arial"/>
          <w:b/>
        </w:rPr>
        <w:t>扩能提效期（2031-2033年）</w:t>
      </w:r>
      <w:r>
        <w:rPr>
          <w:rFonts w:ascii="Arial" w:hAnsi="Arial" w:eastAsia="等线" w:cs="Arial"/>
        </w:rPr>
        <w:t>：完成五大板块核心建设内容，三大园区通过境外经贸合作区年度考核，实现规模化种植面积2亿亩，粮食年产能达4800万吨，航运体系总运力达1700万吨/年，全链条原料本土化供应率达100%。</w:t>
      </w:r>
    </w:p>
    <w:p>
      <w:pPr>
        <w:numPr>
          <w:ilvl w:val="0"/>
          <w:numId w:val="12"/>
        </w:numPr>
        <w:spacing w:before="120" w:after="120" w:line="288" w:lineRule="auto"/>
        <w:rPr>
          <w:rFonts w:hint="eastAsia"/>
        </w:rPr>
      </w:pPr>
      <w:r>
        <w:rPr>
          <w:rFonts w:ascii="Arial" w:hAnsi="Arial" w:eastAsia="等线" w:cs="Arial"/>
          <w:b/>
        </w:rPr>
        <w:t>全面达产期（2034-2036年）</w:t>
      </w:r>
      <w:r>
        <w:rPr>
          <w:rFonts w:ascii="Arial" w:hAnsi="Arial" w:eastAsia="等线" w:cs="Arial"/>
        </w:rPr>
        <w:t>：耕地全面投产，全产业链体系成熟稳定运行，粮食年产能稳定在5760万吨以上，航运体系总运力达2700万吨/年，形成万亿级跨境农业产业生态，成为俄罗斯对华粮食出口核心保障主体。</w:t>
      </w:r>
    </w:p>
    <w:p>
      <w:pPr>
        <w:spacing w:before="300" w:after="120" w:line="288" w:lineRule="auto"/>
        <w:outlineLvl w:val="2"/>
        <w:rPr>
          <w:rFonts w:hint="eastAsia"/>
        </w:rPr>
      </w:pPr>
      <w:bookmarkStart w:id="4" w:name="heading_4"/>
      <w:r>
        <w:rPr>
          <w:rFonts w:ascii="Arial" w:hAnsi="Arial" w:eastAsia="等线" w:cs="Arial"/>
          <w:b/>
          <w:sz w:val="30"/>
        </w:rPr>
        <w:t>（四）核心规划原则</w:t>
      </w:r>
      <w:bookmarkEnd w:id="4"/>
    </w:p>
    <w:p>
      <w:pPr>
        <w:numPr>
          <w:ilvl w:val="0"/>
          <w:numId w:val="13"/>
        </w:numPr>
        <w:spacing w:before="120" w:after="120" w:line="288" w:lineRule="auto"/>
        <w:rPr>
          <w:rFonts w:hint="eastAsia"/>
        </w:rPr>
      </w:pPr>
      <w:r>
        <w:rPr>
          <w:rFonts w:ascii="Arial" w:hAnsi="Arial" w:eastAsia="等线" w:cs="Arial"/>
          <w:b/>
        </w:rPr>
        <w:t>粮安为本，政策合规</w:t>
      </w:r>
      <w:r>
        <w:rPr>
          <w:rFonts w:ascii="Arial" w:hAnsi="Arial" w:eastAsia="等线" w:cs="Arial"/>
        </w:rPr>
        <w:t>：严格遵循中俄两国农业、投资、跨境航运相关法律法规，紧扣国家农业“走出去”战略与境外经贸合作区建设要求，以保障中国粮食进口供应链安全为核心底线。</w:t>
      </w:r>
    </w:p>
    <w:p>
      <w:pPr>
        <w:numPr>
          <w:ilvl w:val="0"/>
          <w:numId w:val="14"/>
        </w:numPr>
        <w:spacing w:before="120" w:after="120" w:line="288" w:lineRule="auto"/>
        <w:rPr>
          <w:rFonts w:hint="eastAsia"/>
        </w:rPr>
      </w:pPr>
      <w:r>
        <w:rPr>
          <w:rFonts w:ascii="Arial" w:hAnsi="Arial" w:eastAsia="等线" w:cs="Arial"/>
          <w:b/>
        </w:rPr>
        <w:t>全链协同，闭环运营</w:t>
      </w:r>
      <w:r>
        <w:rPr>
          <w:rFonts w:ascii="Arial" w:hAnsi="Arial" w:eastAsia="等线" w:cs="Arial"/>
        </w:rPr>
        <w:t>：以耕地种植为核心，打通种植、加工、农资、农机、物流、贸易全产业链环节，实现“内河集并+北极海运+远东铁路”多式联运闭环，破解物流核心瓶颈。</w:t>
      </w:r>
    </w:p>
    <w:p>
      <w:pPr>
        <w:numPr>
          <w:ilvl w:val="0"/>
          <w:numId w:val="15"/>
        </w:numPr>
        <w:spacing w:before="120" w:after="120" w:line="288" w:lineRule="auto"/>
        <w:rPr>
          <w:rFonts w:hint="eastAsia"/>
        </w:rPr>
      </w:pPr>
      <w:r>
        <w:rPr>
          <w:rFonts w:ascii="Arial" w:hAnsi="Arial" w:eastAsia="等线" w:cs="Arial"/>
          <w:b/>
        </w:rPr>
        <w:t>本土适配，中俄共赢</w:t>
      </w:r>
      <w:r>
        <w:rPr>
          <w:rFonts w:ascii="Arial" w:hAnsi="Arial" w:eastAsia="等线" w:cs="Arial"/>
        </w:rPr>
        <w:t>：推动农机、化工、建材、物流全链条本土化生产运营，适配俄罗斯区域资源禀赋与政策要求，兼顾中俄两国政府、企业、属地民众多方利益，实现互利共赢。</w:t>
      </w:r>
    </w:p>
    <w:p>
      <w:pPr>
        <w:numPr>
          <w:ilvl w:val="0"/>
          <w:numId w:val="16"/>
        </w:numPr>
        <w:spacing w:before="120" w:after="120" w:line="288" w:lineRule="auto"/>
        <w:rPr>
          <w:rFonts w:hint="eastAsia"/>
        </w:rPr>
      </w:pPr>
      <w:r>
        <w:rPr>
          <w:rFonts w:ascii="Arial" w:hAnsi="Arial" w:eastAsia="等线" w:cs="Arial"/>
          <w:b/>
        </w:rPr>
        <w:t>绿色低碳，生态优先</w:t>
      </w:r>
      <w:r>
        <w:rPr>
          <w:rFonts w:ascii="Arial" w:hAnsi="Arial" w:eastAsia="等线" w:cs="Arial"/>
        </w:rPr>
        <w:t>：严格遵循俄罗斯北极、远东生态保护法规，推广生态种植、绿色加工、低碳航运技术，实现产业发展与生态保护协同可持续。</w:t>
      </w:r>
    </w:p>
    <w:p>
      <w:pPr>
        <w:numPr>
          <w:ilvl w:val="0"/>
          <w:numId w:val="17"/>
        </w:numPr>
        <w:spacing w:before="120" w:after="120" w:line="288" w:lineRule="auto"/>
        <w:rPr>
          <w:rFonts w:hint="eastAsia"/>
        </w:rPr>
      </w:pPr>
      <w:r>
        <w:rPr>
          <w:rFonts w:ascii="Arial" w:hAnsi="Arial" w:eastAsia="等线" w:cs="Arial"/>
          <w:b/>
        </w:rPr>
        <w:t>风险可控，稳步推进</w:t>
      </w:r>
      <w:r>
        <w:rPr>
          <w:rFonts w:ascii="Arial" w:hAnsi="Arial" w:eastAsia="等线" w:cs="Arial"/>
        </w:rPr>
        <w:t>：建立全流程风险防控体系，分阶段、分区域滚动开发，优先落地试点工程，逐步扩能提效，确保项目全周期运营安全稳定。</w:t>
      </w:r>
    </w:p>
    <w:p>
      <w:pPr>
        <w:spacing w:before="320" w:after="120" w:line="288" w:lineRule="auto"/>
        <w:outlineLvl w:val="1"/>
        <w:rPr>
          <w:rFonts w:hint="eastAsia"/>
        </w:rPr>
      </w:pPr>
      <w:bookmarkStart w:id="5" w:name="heading_5"/>
      <w:r>
        <w:rPr>
          <w:rFonts w:ascii="Arial" w:hAnsi="Arial" w:eastAsia="等线" w:cs="Arial"/>
          <w:b/>
          <w:sz w:val="32"/>
        </w:rPr>
        <w:t>二、项目发展背景与建设必要性</w:t>
      </w:r>
      <w:bookmarkEnd w:id="5"/>
    </w:p>
    <w:p>
      <w:pPr>
        <w:spacing w:before="300" w:after="120" w:line="288" w:lineRule="auto"/>
        <w:outlineLvl w:val="2"/>
        <w:rPr>
          <w:rFonts w:hint="eastAsia"/>
        </w:rPr>
      </w:pPr>
      <w:bookmarkStart w:id="6" w:name="heading_6"/>
      <w:r>
        <w:rPr>
          <w:rFonts w:ascii="Arial" w:hAnsi="Arial" w:eastAsia="等线" w:cs="Arial"/>
          <w:b/>
          <w:sz w:val="30"/>
        </w:rPr>
        <w:t>（一）发展背景</w:t>
      </w:r>
      <w:bookmarkEnd w:id="6"/>
    </w:p>
    <w:p>
      <w:pPr>
        <w:spacing w:before="260" w:after="120" w:line="288" w:lineRule="auto"/>
        <w:outlineLvl w:val="3"/>
        <w:rPr>
          <w:rFonts w:hint="eastAsia"/>
        </w:rPr>
      </w:pPr>
      <w:bookmarkStart w:id="7" w:name="heading_7"/>
      <w:r>
        <w:rPr>
          <w:rFonts w:ascii="Arial" w:hAnsi="Arial" w:eastAsia="等线" w:cs="Arial"/>
          <w:b/>
          <w:sz w:val="28"/>
        </w:rPr>
        <w:t>1. 国家粮食安全战略驱动，农业“走出去”进入全产业链新阶段</w:t>
      </w:r>
      <w:bookmarkEnd w:id="7"/>
    </w:p>
    <w:p>
      <w:pPr>
        <w:spacing w:before="120" w:after="120" w:line="288" w:lineRule="auto"/>
        <w:rPr>
          <w:rFonts w:hint="eastAsia"/>
        </w:rPr>
      </w:pPr>
      <w:r>
        <w:rPr>
          <w:rFonts w:ascii="Arial" w:hAnsi="Arial" w:eastAsia="等线" w:cs="Arial"/>
        </w:rPr>
        <w:t>中国作为全球最大粮食进口国，2025年粮食进口总量超1.4亿吨，大豆、玉米等主粮进口依存度仍处高位，构建多元化、自主可控的海外粮源渠道成为国家粮食安全战略的核心方向。国家相继出台政策支持农业企业“走出去”，推动海外农业合作从单一贸易向全产业链投资升级，为本项目实施提供了顶层政策支撑。</w:t>
      </w:r>
    </w:p>
    <w:p>
      <w:pPr>
        <w:spacing w:before="260" w:after="120" w:line="288" w:lineRule="auto"/>
        <w:outlineLvl w:val="3"/>
        <w:rPr>
          <w:rFonts w:hint="eastAsia"/>
        </w:rPr>
      </w:pPr>
      <w:bookmarkStart w:id="8" w:name="heading_8"/>
      <w:r>
        <w:rPr>
          <w:rFonts w:ascii="Arial" w:hAnsi="Arial" w:eastAsia="等线" w:cs="Arial"/>
          <w:b/>
          <w:sz w:val="28"/>
        </w:rPr>
        <w:t>2. 中俄战略合作持续深化，农业全产业链合作成为双边核心共识</w:t>
      </w:r>
      <w:bookmarkEnd w:id="8"/>
    </w:p>
    <w:p>
      <w:pPr>
        <w:spacing w:before="120" w:after="120" w:line="288" w:lineRule="auto"/>
        <w:rPr>
          <w:rFonts w:hint="eastAsia"/>
        </w:rPr>
      </w:pPr>
      <w:r>
        <w:rPr>
          <w:rFonts w:ascii="Arial" w:hAnsi="Arial" w:eastAsia="等线" w:cs="Arial"/>
        </w:rPr>
        <w:t>中俄新时代全面战略协作伙伴关系持续深化，《中俄总理第三十次定期会晤联合公报》明确提出“扩大农业领域投资合作、支持中国企业在俄开展大豆玉米种植及全产业链投资”。2025年中俄双边签署农业投资合作、投资保护等多项核心协定，为项目落地提供了完善的双边政策保障。2025年俄罗斯对华粮食出口量超1200万吨，未来出口潜力将突破3000万吨/年，双边农业合作具备广阔的市场空间。</w:t>
      </w:r>
    </w:p>
    <w:p>
      <w:pPr>
        <w:spacing w:before="260" w:after="120" w:line="288" w:lineRule="auto"/>
        <w:outlineLvl w:val="3"/>
        <w:rPr>
          <w:rFonts w:hint="eastAsia"/>
        </w:rPr>
      </w:pPr>
      <w:bookmarkStart w:id="9" w:name="heading_9"/>
      <w:r>
        <w:rPr>
          <w:rFonts w:ascii="Arial" w:hAnsi="Arial" w:eastAsia="等线" w:cs="Arial"/>
          <w:b/>
          <w:sz w:val="28"/>
        </w:rPr>
        <w:t>3. 俄罗斯耕地资源禀赋突出，开发潜力巨大</w:t>
      </w:r>
      <w:bookmarkEnd w:id="9"/>
    </w:p>
    <w:p>
      <w:pPr>
        <w:spacing w:before="120" w:after="120" w:line="288" w:lineRule="auto"/>
        <w:rPr>
          <w:rFonts w:hint="eastAsia"/>
        </w:rPr>
      </w:pPr>
      <w:r>
        <w:rPr>
          <w:rFonts w:ascii="Arial" w:hAnsi="Arial" w:eastAsia="等线" w:cs="Arial"/>
        </w:rPr>
        <w:t>俄罗斯拥有全球面积最大的黑土带，闲置优质耕地超5亿亩，本项目确权的耕地均位于核心黑土产区，土壤肥沃、地势平坦，适合规模化、机械化种植，大豆、玉米亩均产能潜力分别达120公斤、360公斤以上。俄罗斯远东开发、北极开发国家战略持续推进，对农业投资、基础设施建设给予税收减免、土地优惠、审批便利等多项政策支持，为项目开发提供了良好的属地政策环境。</w:t>
      </w:r>
    </w:p>
    <w:p>
      <w:pPr>
        <w:spacing w:before="260" w:after="120" w:line="288" w:lineRule="auto"/>
        <w:outlineLvl w:val="3"/>
        <w:rPr>
          <w:rFonts w:hint="eastAsia"/>
        </w:rPr>
      </w:pPr>
      <w:bookmarkStart w:id="10" w:name="heading_10"/>
      <w:r>
        <w:rPr>
          <w:rFonts w:ascii="Arial" w:hAnsi="Arial" w:eastAsia="等线" w:cs="Arial"/>
          <w:b/>
          <w:sz w:val="28"/>
        </w:rPr>
        <w:t>4. 现有物流体系存在系统性瓶颈，制约农业开发潜力释放</w:t>
      </w:r>
      <w:bookmarkEnd w:id="10"/>
    </w:p>
    <w:p>
      <w:pPr>
        <w:spacing w:before="120" w:after="120" w:line="288" w:lineRule="auto"/>
        <w:rPr>
          <w:rFonts w:hint="eastAsia"/>
        </w:rPr>
      </w:pPr>
      <w:r>
        <w:rPr>
          <w:rFonts w:ascii="Arial" w:hAnsi="Arial" w:eastAsia="等线" w:cs="Arial"/>
        </w:rPr>
        <w:t>当前俄罗斯对华粮食出口90%以上依赖西伯利亚大铁路、贝阿铁路运输，存在三大核心瓶颈：一是运输成本高企，西西伯利亚、伏尔加流域至中国港口全程铁路成本达60-90美元/吨，占粮食到岸价的30-40%；二是运力约束突出，粮食漏斗车持续短缺，干线铁路运力与集装箱、煤炭货种长期竞争，运输周期长达25-40天，季节性拥堵问题突出；三是成本波动大，俄铁年均运价上调6-10%，长期成本管控难度极大。物流瓶颈已成为制约俄罗斯耕地开发潜力释放、对华粮食出口规模增长的核心障碍。</w:t>
      </w:r>
    </w:p>
    <w:p>
      <w:pPr>
        <w:spacing w:before="260" w:after="120" w:line="288" w:lineRule="auto"/>
        <w:outlineLvl w:val="3"/>
        <w:rPr>
          <w:rFonts w:hint="eastAsia"/>
        </w:rPr>
      </w:pPr>
      <w:bookmarkStart w:id="11" w:name="heading_11"/>
      <w:r>
        <w:rPr>
          <w:rFonts w:ascii="Arial" w:hAnsi="Arial" w:eastAsia="等线" w:cs="Arial"/>
          <w:b/>
          <w:sz w:val="28"/>
        </w:rPr>
        <w:t>5. 北方海航道与内河航运体系具备规模化开发基础</w:t>
      </w:r>
      <w:bookmarkEnd w:id="11"/>
    </w:p>
    <w:p>
      <w:pPr>
        <w:spacing w:before="120" w:after="120" w:line="288" w:lineRule="auto"/>
        <w:rPr>
          <w:rFonts w:hint="eastAsia"/>
        </w:rPr>
      </w:pPr>
      <w:r>
        <w:rPr>
          <w:rFonts w:ascii="Arial" w:hAnsi="Arial" w:eastAsia="等线" w:cs="Arial"/>
        </w:rPr>
        <w:t>俄罗斯鄂毕-额尔齐斯河、伏尔加河、叶尼塞河、阿穆尔河四大水系通航里程超1.5万公里，核心航段水深满足2000-5000吨级船舶通航要求，具备大宗货物规模化运输能力。北方海航道至中国北方港口航程较传统苏伊士运河航线缩短40%以上，俄罗斯原子能集团已实现全年破冰通航保障，2025年萨别塔港吞吐量达2910万吨，阿尔汉格尔斯克港运力达1100万吨，商业运营已完全成熟，为项目打造低成本粮食出口通道提供了坚实基础。</w:t>
      </w:r>
    </w:p>
    <w:p>
      <w:pPr>
        <w:spacing w:before="300" w:after="120" w:line="288" w:lineRule="auto"/>
        <w:outlineLvl w:val="2"/>
        <w:rPr>
          <w:rFonts w:hint="eastAsia"/>
        </w:rPr>
      </w:pPr>
      <w:bookmarkStart w:id="12" w:name="heading_12"/>
      <w:r>
        <w:rPr>
          <w:rFonts w:ascii="Arial" w:hAnsi="Arial" w:eastAsia="等线" w:cs="Arial"/>
          <w:b/>
          <w:sz w:val="30"/>
        </w:rPr>
        <w:t>（二）项目建设必要性</w:t>
      </w:r>
      <w:bookmarkEnd w:id="12"/>
    </w:p>
    <w:p>
      <w:pPr>
        <w:spacing w:before="260" w:after="120" w:line="288" w:lineRule="auto"/>
        <w:outlineLvl w:val="3"/>
        <w:rPr>
          <w:rFonts w:hint="eastAsia"/>
        </w:rPr>
      </w:pPr>
      <w:bookmarkStart w:id="13" w:name="heading_13"/>
      <w:r>
        <w:rPr>
          <w:rFonts w:ascii="Arial" w:hAnsi="Arial" w:eastAsia="等线" w:cs="Arial"/>
          <w:b/>
          <w:sz w:val="28"/>
        </w:rPr>
        <w:t>1. 筑牢国家粮食安全海外屏障，构建自主可控的多元化粮源渠道</w:t>
      </w:r>
      <w:bookmarkEnd w:id="13"/>
    </w:p>
    <w:p>
      <w:pPr>
        <w:spacing w:before="120" w:after="120" w:line="288" w:lineRule="auto"/>
        <w:rPr>
          <w:rFonts w:hint="eastAsia"/>
        </w:rPr>
      </w:pPr>
      <w:r>
        <w:rPr>
          <w:rFonts w:ascii="Arial" w:hAnsi="Arial" w:eastAsia="等线" w:cs="Arial"/>
        </w:rPr>
        <w:t>本项目建成后，耕地年可向中国供应大豆1440万吨、玉米4320万吨，可有效弥补国内主粮供需缺口，降低中国粮食进口对美洲、东南亚传统市场的依赖度。同步打造中俄自主可控的内河+北极航道粮食出口通道，摆脱对第三方航道、口岸的依赖，实现粮源、物流、贸易全链条自主可控，全面筑牢国家粮食安全海外屏障。</w:t>
      </w:r>
    </w:p>
    <w:p>
      <w:pPr>
        <w:spacing w:before="260" w:after="120" w:line="288" w:lineRule="auto"/>
        <w:outlineLvl w:val="3"/>
        <w:rPr>
          <w:rFonts w:hint="eastAsia"/>
        </w:rPr>
      </w:pPr>
      <w:bookmarkStart w:id="14" w:name="heading_14"/>
      <w:r>
        <w:rPr>
          <w:rFonts w:ascii="Arial" w:hAnsi="Arial" w:eastAsia="等线" w:cs="Arial"/>
          <w:b/>
          <w:sz w:val="28"/>
        </w:rPr>
        <w:t>2. 破解俄罗斯对华粮食出口物流瓶颈，释放耕地开发核心潜力</w:t>
      </w:r>
      <w:bookmarkEnd w:id="14"/>
    </w:p>
    <w:p>
      <w:pPr>
        <w:spacing w:before="120" w:after="120" w:line="288" w:lineRule="auto"/>
        <w:rPr>
          <w:rFonts w:hint="eastAsia"/>
        </w:rPr>
      </w:pPr>
      <w:r>
        <w:rPr>
          <w:rFonts w:ascii="Arial" w:hAnsi="Arial" w:eastAsia="等线" w:cs="Arial"/>
        </w:rPr>
        <w:t>本项目配套建设总运力2700万吨/年的北方海航道+内河航运体系，加权平均单位运输成本34-54美元/吨，较传统铁路模式降低29-41%，单吨运费节约22-33美元，满产后年直接节约运费5.94-8.91亿美元。低成本物流通道可有效提升俄罗斯粮食出口竞争力，全面释放耕地开发潜力，推动俄罗斯耕地资源优势转化为经济优势。</w:t>
      </w:r>
    </w:p>
    <w:p>
      <w:pPr>
        <w:spacing w:before="260" w:after="120" w:line="288" w:lineRule="auto"/>
        <w:outlineLvl w:val="3"/>
        <w:rPr>
          <w:rFonts w:hint="eastAsia"/>
        </w:rPr>
      </w:pPr>
      <w:bookmarkStart w:id="15" w:name="heading_15"/>
      <w:r>
        <w:rPr>
          <w:rFonts w:ascii="Arial" w:hAnsi="Arial" w:eastAsia="等线" w:cs="Arial"/>
          <w:b/>
          <w:sz w:val="28"/>
        </w:rPr>
        <w:t>3. 打造中俄全产业链合作标杆，深化双边战略协作</w:t>
      </w:r>
      <w:bookmarkEnd w:id="15"/>
    </w:p>
    <w:p>
      <w:pPr>
        <w:spacing w:before="120" w:after="120" w:line="288" w:lineRule="auto"/>
        <w:rPr>
          <w:rFonts w:hint="eastAsia"/>
        </w:rPr>
      </w:pPr>
      <w:r>
        <w:rPr>
          <w:rFonts w:ascii="Arial" w:hAnsi="Arial" w:eastAsia="等线" w:cs="Arial"/>
        </w:rPr>
        <w:t>本项目构建农业种植、农机制造、农资化工、物流航运、跨境贸易全产业链合作体系，推动中俄合作从单一农产品贸易向全产业链投资升级，带动中国农机、化工、基建、航运等优势产业出海，同时推动俄罗斯远东、北极、西伯利亚地区产业发展与经济增长，是中俄新时代全面战略协作伙伴关系的具体落地实践，可进一步夯实双边合作的经济与产业基础。</w:t>
      </w:r>
    </w:p>
    <w:p>
      <w:pPr>
        <w:spacing w:before="260" w:after="120" w:line="288" w:lineRule="auto"/>
        <w:outlineLvl w:val="3"/>
        <w:rPr>
          <w:rFonts w:hint="eastAsia"/>
        </w:rPr>
      </w:pPr>
      <w:bookmarkStart w:id="16" w:name="heading_16"/>
      <w:r>
        <w:rPr>
          <w:rFonts w:ascii="Arial" w:hAnsi="Arial" w:eastAsia="等线" w:cs="Arial"/>
          <w:b/>
          <w:sz w:val="28"/>
        </w:rPr>
        <w:t>4. 完善俄罗斯多式联运体系，带动区域经济协同发展</w:t>
      </w:r>
      <w:bookmarkEnd w:id="16"/>
    </w:p>
    <w:p>
      <w:pPr>
        <w:spacing w:before="120" w:after="120" w:line="288" w:lineRule="auto"/>
        <w:rPr>
          <w:rFonts w:hint="eastAsia"/>
        </w:rPr>
      </w:pPr>
      <w:r>
        <w:rPr>
          <w:rFonts w:ascii="Arial" w:hAnsi="Arial" w:eastAsia="等线" w:cs="Arial"/>
        </w:rPr>
        <w:t>项目建成后，2700万吨/年粮食运量从铁路转至水路，可年释放西伯利亚大铁路45-54万车皮运力，相当于填补东方工区当前10-15%的运力缺口，有效缓解煤炭、集装箱、金属等战略货种的运输压力，完善俄罗斯“水路为主、铁路为辅、公路配套”的大宗货物多式联运体系。同时项目可直接创造就业岗位超24万个，间接带动就业超178万个，带动俄罗斯内河沿线、北极地区、远东地区港口、物流、造船、配套服务产业发展，推动区域经济增长。</w:t>
      </w:r>
    </w:p>
    <w:p>
      <w:pPr>
        <w:spacing w:before="260" w:after="120" w:line="288" w:lineRule="auto"/>
        <w:outlineLvl w:val="3"/>
        <w:rPr>
          <w:rFonts w:hint="eastAsia"/>
        </w:rPr>
      </w:pPr>
      <w:bookmarkStart w:id="17" w:name="heading_17"/>
      <w:r>
        <w:rPr>
          <w:rFonts w:ascii="Arial" w:hAnsi="Arial" w:eastAsia="等线" w:cs="Arial"/>
          <w:b/>
          <w:sz w:val="28"/>
        </w:rPr>
        <w:t>5. 推动中资企业抱团出海，提升中国农业产业国际竞争力</w:t>
      </w:r>
      <w:bookmarkEnd w:id="17"/>
    </w:p>
    <w:p>
      <w:pPr>
        <w:spacing w:before="120" w:after="120" w:line="288" w:lineRule="auto"/>
        <w:rPr>
          <w:rFonts w:hint="eastAsia"/>
        </w:rPr>
      </w:pPr>
      <w:r>
        <w:rPr>
          <w:rFonts w:ascii="Arial" w:hAnsi="Arial" w:eastAsia="等线" w:cs="Arial"/>
        </w:rPr>
        <w:t>本项目以央企平台为依托，整合国内种植、加工、农机、化工、物流等领域优质中资企业抱团出海，避免单一企业出海的无序竞争与风险，形成产业集群效应。同步推动中国农业种植、农机制造、粮食仓储、智能航运等技术与标准出海，培育一批具有国际影响力的中俄跨境农业品牌，全面提升中国农业产业的国际话语权与竞争力。</w:t>
      </w:r>
    </w:p>
    <w:p>
      <w:pPr>
        <w:spacing w:before="320" w:after="120" w:line="288" w:lineRule="auto"/>
        <w:outlineLvl w:val="1"/>
        <w:rPr>
          <w:rFonts w:hint="eastAsia"/>
        </w:rPr>
      </w:pPr>
      <w:bookmarkStart w:id="18" w:name="heading_18"/>
      <w:r>
        <w:rPr>
          <w:rFonts w:ascii="Arial" w:hAnsi="Arial" w:eastAsia="等线" w:cs="Arial"/>
          <w:b/>
          <w:sz w:val="32"/>
        </w:rPr>
        <w:t>三、总体战略与规划目标</w:t>
      </w:r>
      <w:bookmarkEnd w:id="18"/>
    </w:p>
    <w:p>
      <w:pPr>
        <w:spacing w:before="300" w:after="120" w:line="288" w:lineRule="auto"/>
        <w:outlineLvl w:val="2"/>
        <w:rPr>
          <w:rFonts w:hint="eastAsia"/>
        </w:rPr>
      </w:pPr>
      <w:bookmarkStart w:id="19" w:name="heading_19"/>
      <w:r>
        <w:rPr>
          <w:rFonts w:ascii="Arial" w:hAnsi="Arial" w:eastAsia="等线" w:cs="Arial"/>
          <w:b/>
          <w:sz w:val="30"/>
        </w:rPr>
        <w:t>（一）总体发展战略</w:t>
      </w:r>
      <w:bookmarkEnd w:id="19"/>
    </w:p>
    <w:p>
      <w:pPr>
        <w:spacing w:before="120" w:after="120" w:line="288" w:lineRule="auto"/>
        <w:rPr>
          <w:rFonts w:hint="eastAsia"/>
        </w:rPr>
      </w:pPr>
      <w:r>
        <w:rPr>
          <w:rFonts w:ascii="Arial" w:hAnsi="Arial" w:eastAsia="等线" w:cs="Arial"/>
        </w:rPr>
        <w:t>以“一个核心、两大载体、三大链条、四大支撑”为总体发展战略，构建中俄跨境农业全产业链生态体系：</w:t>
      </w:r>
    </w:p>
    <w:p>
      <w:pPr>
        <w:numPr>
          <w:ilvl w:val="0"/>
          <w:numId w:val="18"/>
        </w:numPr>
        <w:spacing w:before="120" w:after="120" w:line="288" w:lineRule="auto"/>
        <w:rPr>
          <w:rFonts w:hint="eastAsia"/>
        </w:rPr>
      </w:pPr>
      <w:r>
        <w:rPr>
          <w:rFonts w:ascii="Arial" w:hAnsi="Arial" w:eastAsia="等线" w:cs="Arial"/>
          <w:b/>
        </w:rPr>
        <w:t>一个核心</w:t>
      </w:r>
      <w:r>
        <w:rPr>
          <w:rFonts w:ascii="Arial" w:hAnsi="Arial" w:eastAsia="等线" w:cs="Arial"/>
        </w:rPr>
        <w:t>：以耕地规模化种植为核心，筑牢全产业链发展的原料基础；</w:t>
      </w:r>
    </w:p>
    <w:p>
      <w:pPr>
        <w:numPr>
          <w:ilvl w:val="0"/>
          <w:numId w:val="19"/>
        </w:numPr>
        <w:spacing w:before="120" w:after="120" w:line="288" w:lineRule="auto"/>
        <w:rPr>
          <w:rFonts w:hint="eastAsia"/>
        </w:rPr>
      </w:pPr>
      <w:r>
        <w:rPr>
          <w:rFonts w:ascii="Arial" w:hAnsi="Arial" w:eastAsia="等线" w:cs="Arial"/>
          <w:b/>
        </w:rPr>
        <w:t>两大载体</w:t>
      </w:r>
      <w:r>
        <w:rPr>
          <w:rFonts w:ascii="Arial" w:hAnsi="Arial" w:eastAsia="等线" w:cs="Arial"/>
        </w:rPr>
        <w:t>：以三大国家级境外经贸合作区、中俄“两国双园”跨境协作体为产业落地载体；</w:t>
      </w:r>
    </w:p>
    <w:p>
      <w:pPr>
        <w:numPr>
          <w:ilvl w:val="0"/>
          <w:numId w:val="20"/>
        </w:numPr>
        <w:spacing w:before="120" w:after="120" w:line="288" w:lineRule="auto"/>
        <w:rPr>
          <w:rFonts w:hint="eastAsia"/>
        </w:rPr>
      </w:pPr>
      <w:r>
        <w:rPr>
          <w:rFonts w:ascii="Arial" w:hAnsi="Arial" w:eastAsia="等线" w:cs="Arial"/>
          <w:b/>
        </w:rPr>
        <w:t>三大链条</w:t>
      </w:r>
      <w:r>
        <w:rPr>
          <w:rFonts w:ascii="Arial" w:hAnsi="Arial" w:eastAsia="等线" w:cs="Arial"/>
        </w:rPr>
        <w:t>：打通“种植-加工-贸易”核心产业链、“农机-农资-能源”配套产业链、“内河-海运-铁路”物流产业链，形成闭环协同；</w:t>
      </w:r>
    </w:p>
    <w:p>
      <w:pPr>
        <w:numPr>
          <w:ilvl w:val="0"/>
          <w:numId w:val="21"/>
        </w:numPr>
        <w:spacing w:before="120" w:after="120" w:line="288" w:lineRule="auto"/>
        <w:rPr>
          <w:rFonts w:hint="eastAsia"/>
        </w:rPr>
      </w:pPr>
      <w:r>
        <w:rPr>
          <w:rFonts w:ascii="Arial" w:hAnsi="Arial" w:eastAsia="等线" w:cs="Arial"/>
          <w:b/>
        </w:rPr>
        <w:t>四大支撑</w:t>
      </w:r>
      <w:r>
        <w:rPr>
          <w:rFonts w:ascii="Arial" w:hAnsi="Arial" w:eastAsia="等线" w:cs="Arial"/>
        </w:rPr>
        <w:t>：以政策合规、数字智能、绿色生态、风险防控为四大核心支撑，保障项目全周期稳定运营。</w:t>
      </w:r>
    </w:p>
    <w:p>
      <w:pPr>
        <w:spacing w:before="300" w:after="120" w:line="288" w:lineRule="auto"/>
        <w:outlineLvl w:val="2"/>
        <w:rPr>
          <w:rFonts w:hint="eastAsia"/>
        </w:rPr>
      </w:pPr>
      <w:bookmarkStart w:id="20" w:name="heading_20"/>
      <w:r>
        <w:rPr>
          <w:rFonts w:ascii="Arial" w:hAnsi="Arial" w:eastAsia="等线" w:cs="Arial"/>
          <w:b/>
          <w:sz w:val="30"/>
        </w:rPr>
        <w:t>（二）核心发展定位</w:t>
      </w:r>
      <w:bookmarkEnd w:id="20"/>
    </w:p>
    <w:p>
      <w:pPr>
        <w:numPr>
          <w:ilvl w:val="0"/>
          <w:numId w:val="22"/>
        </w:numPr>
        <w:spacing w:before="120" w:after="120" w:line="288" w:lineRule="auto"/>
        <w:rPr>
          <w:rFonts w:hint="eastAsia"/>
        </w:rPr>
      </w:pPr>
      <w:r>
        <w:rPr>
          <w:rFonts w:ascii="Arial" w:hAnsi="Arial" w:eastAsia="等线" w:cs="Arial"/>
          <w:b/>
        </w:rPr>
        <w:t>国家级粮食安全海外核心保障基地</w:t>
      </w:r>
      <w:r>
        <w:rPr>
          <w:rFonts w:ascii="Arial" w:hAnsi="Arial" w:eastAsia="等线" w:cs="Arial"/>
        </w:rPr>
        <w:t>：打造中国规模最大、自主可控的海外粮食</w:t>
      </w:r>
      <w:bookmarkStart w:id="102" w:name="_GoBack"/>
      <w:bookmarkEnd w:id="102"/>
      <w:r>
        <w:rPr>
          <w:rFonts w:ascii="Arial" w:hAnsi="Arial" w:eastAsia="等线" w:cs="Arial"/>
        </w:rPr>
        <w:t>生产与供应基地，成为国家粮食安全战略的核心海外支撑。</w:t>
      </w:r>
    </w:p>
    <w:p>
      <w:pPr>
        <w:numPr>
          <w:ilvl w:val="0"/>
          <w:numId w:val="23"/>
        </w:numPr>
        <w:spacing w:before="120" w:after="120" w:line="288" w:lineRule="auto"/>
        <w:rPr>
          <w:rFonts w:hint="eastAsia"/>
        </w:rPr>
      </w:pPr>
      <w:r>
        <w:rPr>
          <w:rFonts w:ascii="Arial" w:hAnsi="Arial" w:eastAsia="等线" w:cs="Arial"/>
          <w:b/>
        </w:rPr>
        <w:t>中俄农业全产业链合作标杆项目</w:t>
      </w:r>
      <w:r>
        <w:rPr>
          <w:rFonts w:ascii="Arial" w:hAnsi="Arial" w:eastAsia="等线" w:cs="Arial"/>
        </w:rPr>
        <w:t>：构建中俄农业投资、生产、加工、物流、贸易全链条合作体系，成为中俄总理会晤成果落地的标志性示范项目。</w:t>
      </w:r>
    </w:p>
    <w:p>
      <w:pPr>
        <w:numPr>
          <w:ilvl w:val="0"/>
          <w:numId w:val="24"/>
        </w:numPr>
        <w:spacing w:before="120" w:after="120" w:line="288" w:lineRule="auto"/>
        <w:rPr>
          <w:rFonts w:hint="eastAsia"/>
        </w:rPr>
      </w:pPr>
      <w:r>
        <w:rPr>
          <w:rFonts w:ascii="Arial" w:hAnsi="Arial" w:eastAsia="等线" w:cs="Arial"/>
          <w:b/>
        </w:rPr>
        <w:t>中资企业抱团出海示范平台</w:t>
      </w:r>
      <w:r>
        <w:rPr>
          <w:rFonts w:ascii="Arial" w:hAnsi="Arial" w:eastAsia="等线" w:cs="Arial"/>
        </w:rPr>
        <w:t>：以央企平台为依托，整合国内优势产业资源，打造中资企业海外集聚发展的成熟模式，带动6000家以上中资企业跨境发展。</w:t>
      </w:r>
    </w:p>
    <w:p>
      <w:pPr>
        <w:numPr>
          <w:ilvl w:val="0"/>
          <w:numId w:val="25"/>
        </w:numPr>
        <w:spacing w:before="120" w:after="120" w:line="288" w:lineRule="auto"/>
        <w:rPr>
          <w:rFonts w:hint="eastAsia"/>
        </w:rPr>
      </w:pPr>
      <w:r>
        <w:rPr>
          <w:rFonts w:ascii="Arial" w:hAnsi="Arial" w:eastAsia="等线" w:cs="Arial"/>
          <w:b/>
        </w:rPr>
        <w:t>俄罗斯北极开发与远东振兴协同发展载体</w:t>
      </w:r>
      <w:r>
        <w:rPr>
          <w:rFonts w:ascii="Arial" w:hAnsi="Arial" w:eastAsia="等线" w:cs="Arial"/>
        </w:rPr>
        <w:t>：以农业开发为牵引，带动内河航运、港口建设、能源化工、装备制造产业发展，助力俄罗斯远东开发与北极开发国家战略实施。</w:t>
      </w:r>
    </w:p>
    <w:p>
      <w:pPr>
        <w:numPr>
          <w:ilvl w:val="0"/>
          <w:numId w:val="26"/>
        </w:numPr>
        <w:spacing w:before="120" w:after="120" w:line="288" w:lineRule="auto"/>
        <w:rPr>
          <w:rFonts w:hint="eastAsia"/>
        </w:rPr>
      </w:pPr>
      <w:r>
        <w:rPr>
          <w:rFonts w:ascii="Arial" w:hAnsi="Arial" w:eastAsia="等线" w:cs="Arial"/>
          <w:b/>
        </w:rPr>
        <w:t>全球低碳农业与可持续发展典范</w:t>
      </w:r>
      <w:r>
        <w:rPr>
          <w:rFonts w:ascii="Arial" w:hAnsi="Arial" w:eastAsia="等线" w:cs="Arial"/>
        </w:rPr>
        <w:t>：推广生态种植、绿色加工、低碳航运技术，实现产业发展与生态保护协同，为全球跨境农业可持续发展提供中俄方案。</w:t>
      </w:r>
    </w:p>
    <w:p>
      <w:pPr>
        <w:spacing w:before="300" w:after="120" w:line="288" w:lineRule="auto"/>
        <w:outlineLvl w:val="2"/>
        <w:rPr>
          <w:rFonts w:hint="eastAsia"/>
        </w:rPr>
      </w:pPr>
      <w:bookmarkStart w:id="21" w:name="heading_21"/>
      <w:r>
        <w:rPr>
          <w:rFonts w:ascii="Arial" w:hAnsi="Arial" w:eastAsia="等线" w:cs="Arial"/>
          <w:b/>
          <w:sz w:val="30"/>
        </w:rPr>
        <w:t>（三）总体规划目标</w:t>
      </w:r>
      <w:bookmarkEnd w:id="21"/>
    </w:p>
    <w:p>
      <w:pPr>
        <w:spacing w:before="120" w:after="120" w:line="288" w:lineRule="auto"/>
        <w:rPr>
          <w:rFonts w:hint="eastAsia"/>
        </w:rPr>
      </w:pPr>
      <w:r>
        <w:rPr>
          <w:rFonts w:ascii="Arial" w:hAnsi="Arial" w:eastAsia="等线" w:cs="Arial"/>
        </w:rPr>
        <w:t>规划期末（2036年），全面建成耕地规模化种植体系、三大核心境外经贸合作区、双跨境物流通道，形成万亿级跨境农业全产业链生态，实现以下核心目标：</w:t>
      </w:r>
    </w:p>
    <w:p>
      <w:pPr>
        <w:numPr>
          <w:ilvl w:val="0"/>
          <w:numId w:val="27"/>
        </w:numPr>
        <w:spacing w:before="120" w:after="120" w:line="288" w:lineRule="auto"/>
        <w:rPr>
          <w:rFonts w:hint="eastAsia"/>
        </w:rPr>
      </w:pPr>
      <w:r>
        <w:rPr>
          <w:rFonts w:ascii="Arial" w:hAnsi="Arial" w:eastAsia="等线" w:cs="Arial"/>
          <w:b/>
        </w:rPr>
        <w:t>产能目标</w:t>
      </w:r>
      <w:r>
        <w:rPr>
          <w:rFonts w:ascii="Arial" w:hAnsi="Arial" w:eastAsia="等线" w:cs="Arial"/>
        </w:rPr>
        <w:t>：耕地全面投产，年稳定产出大豆1440万吨、玉米4320万吨，年出栏生猪2000万头、肉牛800万头，成为俄罗斯最大的农业生产与粮食出口主体。</w:t>
      </w:r>
    </w:p>
    <w:p>
      <w:pPr>
        <w:numPr>
          <w:ilvl w:val="0"/>
          <w:numId w:val="28"/>
        </w:numPr>
        <w:spacing w:before="120" w:after="120" w:line="288" w:lineRule="auto"/>
        <w:rPr>
          <w:rFonts w:hint="eastAsia"/>
        </w:rPr>
      </w:pPr>
      <w:r>
        <w:rPr>
          <w:rFonts w:ascii="Arial" w:hAnsi="Arial" w:eastAsia="等线" w:cs="Arial"/>
          <w:b/>
        </w:rPr>
        <w:t>物流目标</w:t>
      </w:r>
      <w:r>
        <w:rPr>
          <w:rFonts w:ascii="Arial" w:hAnsi="Arial" w:eastAsia="等线" w:cs="Arial"/>
        </w:rPr>
        <w:t>：建成总运力2700万吨/年的北方海航道+内河航运体系，配套远东虎列铁路专用线，实现粮食出口跨境运输效率提升40%，运输成本降低35%以上。</w:t>
      </w:r>
    </w:p>
    <w:p>
      <w:pPr>
        <w:numPr>
          <w:ilvl w:val="0"/>
          <w:numId w:val="29"/>
        </w:numPr>
        <w:spacing w:before="120" w:after="120" w:line="288" w:lineRule="auto"/>
        <w:rPr>
          <w:rFonts w:hint="eastAsia"/>
        </w:rPr>
      </w:pPr>
      <w:r>
        <w:rPr>
          <w:rFonts w:ascii="Arial" w:hAnsi="Arial" w:eastAsia="等线" w:cs="Arial"/>
          <w:b/>
        </w:rPr>
        <w:t>产业目标</w:t>
      </w:r>
      <w:r>
        <w:rPr>
          <w:rFonts w:ascii="Arial" w:hAnsi="Arial" w:eastAsia="等线" w:cs="Arial"/>
        </w:rPr>
        <w:t>：实现农机、化肥、农药、建材全链条原料100%本土化供应，入园企业平均利润率较传统海外投资提升20%-25%，全产业链年度市场规模突破10460亿元人民币。</w:t>
      </w:r>
    </w:p>
    <w:p>
      <w:pPr>
        <w:numPr>
          <w:ilvl w:val="0"/>
          <w:numId w:val="30"/>
        </w:numPr>
        <w:spacing w:before="120" w:after="120" w:line="288" w:lineRule="auto"/>
        <w:rPr>
          <w:rFonts w:hint="eastAsia"/>
        </w:rPr>
      </w:pPr>
      <w:r>
        <w:rPr>
          <w:rFonts w:ascii="Arial" w:hAnsi="Arial" w:eastAsia="等线" w:cs="Arial"/>
          <w:b/>
        </w:rPr>
        <w:t>经济目标</w:t>
      </w:r>
      <w:r>
        <w:rPr>
          <w:rFonts w:ascii="Arial" w:hAnsi="Arial" w:eastAsia="等线" w:cs="Arial"/>
        </w:rPr>
        <w:t>：项目提升阶段（2033年）年总产值达5259亿元，年总利润达1209.57亿元；全面达产后年总产值稳定在10460亿元，中海外集团轻资产运营年稳定收益达250亿元，综合投资回收期3.08年。</w:t>
      </w:r>
    </w:p>
    <w:p>
      <w:pPr>
        <w:numPr>
          <w:ilvl w:val="0"/>
          <w:numId w:val="31"/>
        </w:numPr>
        <w:spacing w:before="120" w:after="120" w:line="288" w:lineRule="auto"/>
        <w:rPr>
          <w:rFonts w:hint="eastAsia"/>
        </w:rPr>
      </w:pPr>
      <w:r>
        <w:rPr>
          <w:rFonts w:ascii="Arial" w:hAnsi="Arial" w:eastAsia="等线" w:cs="Arial"/>
          <w:b/>
        </w:rPr>
        <w:t>社会目标</w:t>
      </w:r>
      <w:r>
        <w:rPr>
          <w:rFonts w:ascii="Arial" w:hAnsi="Arial" w:eastAsia="等线" w:cs="Arial"/>
        </w:rPr>
        <w:t>：直接创造境内外就业岗位24.33万个，间接带动就业178.25万个，其中俄罗斯本地用工占比不低于70%，推动中俄双边民间交流与区域民生改善。</w:t>
      </w:r>
    </w:p>
    <w:p>
      <w:pPr>
        <w:numPr>
          <w:ilvl w:val="0"/>
          <w:numId w:val="32"/>
        </w:numPr>
        <w:spacing w:before="120" w:after="120" w:line="288" w:lineRule="auto"/>
        <w:rPr>
          <w:rFonts w:hint="eastAsia"/>
        </w:rPr>
      </w:pPr>
      <w:r>
        <w:rPr>
          <w:rFonts w:ascii="Arial" w:hAnsi="Arial" w:eastAsia="等线" w:cs="Arial"/>
          <w:b/>
        </w:rPr>
        <w:t>生态目标</w:t>
      </w:r>
      <w:r>
        <w:rPr>
          <w:rFonts w:ascii="Arial" w:hAnsi="Arial" w:eastAsia="等线" w:cs="Arial"/>
        </w:rPr>
        <w:t>：实现种植环节化肥农药减量30%，养殖废弃物资源化利用率达90%以上，单位货物运输碳排放较铁路模式降低30%以上，园区环保设施达标率100%。</w:t>
      </w:r>
    </w:p>
    <w:p>
      <w:pPr>
        <w:spacing w:before="300" w:after="120" w:line="288" w:lineRule="auto"/>
        <w:outlineLvl w:val="2"/>
        <w:rPr>
          <w:rFonts w:hint="eastAsia"/>
        </w:rPr>
      </w:pPr>
      <w:bookmarkStart w:id="22" w:name="heading_22"/>
      <w:r>
        <w:rPr>
          <w:rFonts w:ascii="Arial" w:hAnsi="Arial" w:eastAsia="等线" w:cs="Arial"/>
          <w:b/>
          <w:sz w:val="30"/>
        </w:rPr>
        <w:t>（四）分阶段实施目标</w:t>
      </w:r>
      <w:bookmarkEnd w:id="22"/>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实施阶段</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时间周期</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核心发展目标</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关键量化指标</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启动建设期</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2027-2030年</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完成资源确权与试点建设，通过园区初审，实现核心板块试运营</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 100%完成耕地及配套建设用地权属确权；2. 三大核心园区通过境外经贸合作区确认初审；3. 试点种植面积8000万亩，年粮食产能1800万吨；4. 航运体系试点运力550万吨/年，建成核心集散节点10个；5. 首批56家核心企业入园投产，境内结算平台交易规模突破150亿元。</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扩能提效期</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2031-2033年</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完成核心板块建设，园区通过年度考核，全产业链体系基本成型</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 规模化种植面积达2亿亩，年粮食产能4800万吨；2. 航运体系总运力达1700万吨/年，四大走廊核心港口与节点全面建成；3. 全链条原料本土化供应率达100%，入园企业超120家；4. 年总产值达5259亿元，年总利润达1209.57亿元；5. 虎列铁路全线通车，年运输能力达5000万吨。</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全面达产期</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2034-2036年</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全产业链全面达产，形成万亿级产业生态，成为中俄农业合作标杆</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 耕地全面投产，年粮食产能稳定在5760万吨以上；2. 航运体系总运力达2700万吨/年，成为俄罗斯对华粮食出口核心主通道；3. 全产业链年度市场规模突破10460亿元，带动6000家以上中资企业跨境发展；4. 三大园区成为国家级境外经贸合作区标杆，中俄“两国双园”成为跨境合作典范；5. 年向中国稳定供应大豆1440万吨、玉米4320万吨，全面筑牢国家粮食安全海外屏障。</w:t>
            </w:r>
          </w:p>
        </w:tc>
      </w:tr>
    </w:tbl>
    <w:p>
      <w:pPr>
        <w:spacing w:before="320" w:after="120" w:line="288" w:lineRule="auto"/>
        <w:outlineLvl w:val="1"/>
        <w:rPr>
          <w:rFonts w:hint="eastAsia"/>
        </w:rPr>
      </w:pPr>
      <w:bookmarkStart w:id="23" w:name="heading_23"/>
      <w:r>
        <w:rPr>
          <w:rFonts w:ascii="Arial" w:hAnsi="Arial" w:eastAsia="等线" w:cs="Arial"/>
          <w:b/>
          <w:sz w:val="32"/>
        </w:rPr>
        <w:t>四、总体空间布局</w:t>
      </w:r>
      <w:bookmarkEnd w:id="23"/>
    </w:p>
    <w:p>
      <w:pPr>
        <w:spacing w:before="120" w:after="120" w:line="288" w:lineRule="auto"/>
        <w:rPr>
          <w:rFonts w:hint="eastAsia"/>
        </w:rPr>
      </w:pPr>
      <w:r>
        <w:rPr>
          <w:rFonts w:ascii="Arial" w:hAnsi="Arial" w:eastAsia="等线" w:cs="Arial"/>
        </w:rPr>
        <w:t>结合俄罗斯耕地资源分布、产业配套基础、物流通道走向、中俄跨境协作区位，构建“三大种植片区、三大核心园区、双跨境物流通道、两国双园协同载体、一个全球服务中枢”的总体空间格局，实现“种植有基地、加工有园区、配套有产业、物流有通道、跨境有载体、统筹有中枢”的全空间协同布局。</w:t>
      </w:r>
    </w:p>
    <w:p>
      <w:pPr>
        <w:spacing w:before="300" w:after="120" w:line="288" w:lineRule="auto"/>
        <w:outlineLvl w:val="2"/>
        <w:rPr>
          <w:rFonts w:hint="eastAsia"/>
        </w:rPr>
      </w:pPr>
      <w:bookmarkStart w:id="24" w:name="heading_24"/>
      <w:r>
        <w:rPr>
          <w:rFonts w:ascii="Arial" w:hAnsi="Arial" w:eastAsia="等线" w:cs="Arial"/>
          <w:b/>
          <w:sz w:val="30"/>
        </w:rPr>
        <w:t>（一）三大种植片区</w:t>
      </w:r>
      <w:bookmarkEnd w:id="24"/>
    </w:p>
    <w:p>
      <w:pPr>
        <w:spacing w:before="120" w:after="120" w:line="288" w:lineRule="auto"/>
        <w:rPr>
          <w:rFonts w:hint="eastAsia"/>
        </w:rPr>
      </w:pPr>
      <w:r>
        <w:rPr>
          <w:rFonts w:ascii="Arial" w:hAnsi="Arial" w:eastAsia="等线" w:cs="Arial"/>
        </w:rPr>
        <w:t>全面覆盖俄罗斯核心黑土产区，与四大内河航运走廊粮源覆盖范围精准匹配，实现“产区贴近航道、粮流直达港口”的空间协同，总确权耕地面积。</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种植片区</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空间范围</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确权耕地面积</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核心种植品种</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配套物流通道</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粮源保障能力</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中部伏尔加河流域种植片区</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萨拉托夫州、伏尔加格勒州、萨马拉州、奥伦堡州、鞑靼斯坦、巴什科尔托斯坦</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1亿亩</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玉米、小麦、大豆、油菜</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伏尔加河内河走廊→阿尔汉格尔斯克港→北方海航道</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年粮源潜力超2500万吨，配套航运设计运力800万吨/年</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西部西伯利亚种植片区</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阿尔泰边疆区、鄂木斯克州、新西伯利亚州、克拉斯诺亚尔斯克边疆区、克麦罗沃州、伊尔库茨克州</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8000万亩</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大豆、玉米、小麦、亚麻</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鄂毕-额尔齐斯河走廊→萨别塔港、叶尼塞河走廊→伊加尔卡+杜金卡港→北方海航道</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年粮源潜力1380-1590万吨，配套航运总运力1300万吨/年</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远东跨境种植片区</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阿穆尔州、滨海边疆区、外贝加尔边疆区、犹太自治州</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7000万亩</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大豆、玉米、水稻</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阿穆尔-乌苏里东部内河走廊→抚远+符拉迪沃斯托克港、虎列铁路专用线</w:t>
            </w:r>
          </w:p>
        </w:tc>
        <w:tc>
          <w:tcPr>
            <w:tcW w:w="138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年粮源潜力580-720万吨，配套航运设计运力600万吨/年</w:t>
            </w:r>
          </w:p>
        </w:tc>
      </w:tr>
    </w:tbl>
    <w:p>
      <w:pPr>
        <w:spacing w:before="300" w:after="120" w:line="288" w:lineRule="auto"/>
        <w:outlineLvl w:val="2"/>
        <w:rPr>
          <w:rFonts w:hint="eastAsia"/>
        </w:rPr>
      </w:pPr>
      <w:bookmarkStart w:id="25" w:name="heading_25"/>
      <w:r>
        <w:rPr>
          <w:rFonts w:ascii="Arial" w:hAnsi="Arial" w:eastAsia="等线" w:cs="Arial"/>
          <w:b/>
          <w:sz w:val="30"/>
        </w:rPr>
        <w:t>（二）三大核心园区</w:t>
      </w:r>
      <w:bookmarkEnd w:id="25"/>
    </w:p>
    <w:p>
      <w:pPr>
        <w:spacing w:before="120" w:after="120" w:line="288" w:lineRule="auto"/>
        <w:rPr>
          <w:rFonts w:hint="eastAsia"/>
        </w:rPr>
      </w:pPr>
      <w:r>
        <w:rPr>
          <w:rFonts w:ascii="Arial" w:hAnsi="Arial" w:eastAsia="等线" w:cs="Arial"/>
        </w:rPr>
        <w:t>严格按照《境外经济贸易合作区考核办法》标准，打造三大类型互补、功能协同的国家级境外经贸合作区，作为全产业链的核心落地载体，总规划占地面积47.1万亩。</w:t>
      </w:r>
    </w:p>
    <w:p>
      <w:pPr>
        <w:spacing w:before="260" w:after="120" w:line="288" w:lineRule="auto"/>
        <w:outlineLvl w:val="3"/>
        <w:rPr>
          <w:rFonts w:hint="eastAsia"/>
        </w:rPr>
      </w:pPr>
      <w:bookmarkStart w:id="26" w:name="heading_26"/>
      <w:r>
        <w:rPr>
          <w:rFonts w:ascii="Arial" w:hAnsi="Arial" w:eastAsia="等线" w:cs="Arial"/>
          <w:b/>
          <w:sz w:val="28"/>
        </w:rPr>
        <w:t>1. 新西伯利亚农业产业型境外经贸合作区</w:t>
      </w:r>
      <w:bookmarkEnd w:id="26"/>
    </w:p>
    <w:p>
      <w:pPr>
        <w:numPr>
          <w:ilvl w:val="0"/>
          <w:numId w:val="33"/>
        </w:numPr>
        <w:spacing w:before="120" w:after="120" w:line="288" w:lineRule="auto"/>
        <w:rPr>
          <w:rFonts w:hint="eastAsia"/>
        </w:rPr>
      </w:pPr>
      <w:r>
        <w:rPr>
          <w:rFonts w:ascii="Arial" w:hAnsi="Arial" w:eastAsia="等线" w:cs="Arial"/>
          <w:b/>
        </w:rPr>
        <w:t>选址</w:t>
      </w:r>
      <w:r>
        <w:rPr>
          <w:rFonts w:ascii="Arial" w:hAnsi="Arial" w:eastAsia="等线" w:cs="Arial"/>
        </w:rPr>
        <w:t>：俄罗斯新西伯利亚市</w:t>
      </w:r>
    </w:p>
    <w:p>
      <w:pPr>
        <w:numPr>
          <w:ilvl w:val="0"/>
          <w:numId w:val="34"/>
        </w:numPr>
        <w:spacing w:before="120" w:after="120" w:line="288" w:lineRule="auto"/>
        <w:rPr>
          <w:rFonts w:hint="eastAsia"/>
        </w:rPr>
      </w:pPr>
      <w:r>
        <w:rPr>
          <w:rFonts w:ascii="Arial" w:hAnsi="Arial" w:eastAsia="等线" w:cs="Arial"/>
          <w:b/>
        </w:rPr>
        <w:t>规划面积</w:t>
      </w:r>
      <w:r>
        <w:rPr>
          <w:rFonts w:ascii="Arial" w:hAnsi="Arial" w:eastAsia="等线" w:cs="Arial"/>
        </w:rPr>
        <w:t>：3770.1万亩（含种植基地3750万亩，加工及配套20.1万亩）</w:t>
      </w:r>
    </w:p>
    <w:p>
      <w:pPr>
        <w:numPr>
          <w:ilvl w:val="0"/>
          <w:numId w:val="35"/>
        </w:numPr>
        <w:spacing w:before="120" w:after="120" w:line="288" w:lineRule="auto"/>
        <w:rPr>
          <w:rFonts w:hint="eastAsia"/>
        </w:rPr>
      </w:pPr>
      <w:r>
        <w:rPr>
          <w:rFonts w:ascii="Arial" w:hAnsi="Arial" w:eastAsia="等线" w:cs="Arial"/>
          <w:b/>
        </w:rPr>
        <w:t>功能定位</w:t>
      </w:r>
      <w:r>
        <w:rPr>
          <w:rFonts w:ascii="Arial" w:hAnsi="Arial" w:eastAsia="等线" w:cs="Arial"/>
        </w:rPr>
        <w:t>：中西部产粮区核心加工基地，全产业链原料供给与初深加工中心，俄罗斯最大的农产品加工与畜牧养殖基地，按农业产业型境外经贸合作区标准建设。</w:t>
      </w:r>
    </w:p>
    <w:p>
      <w:pPr>
        <w:numPr>
          <w:ilvl w:val="0"/>
          <w:numId w:val="36"/>
        </w:numPr>
        <w:spacing w:before="120" w:after="120" w:line="288" w:lineRule="auto"/>
        <w:rPr>
          <w:rFonts w:hint="eastAsia"/>
        </w:rPr>
      </w:pPr>
      <w:r>
        <w:rPr>
          <w:rFonts w:ascii="Arial" w:hAnsi="Arial" w:eastAsia="等线" w:cs="Arial"/>
          <w:b/>
        </w:rPr>
        <w:t>核心建设内容</w:t>
      </w:r>
      <w:r>
        <w:rPr>
          <w:rFonts w:ascii="Arial" w:hAnsi="Arial" w:eastAsia="等线" w:cs="Arial"/>
        </w:rPr>
        <w:t>：规模化种植示范区、畜牧养殖基地、粮油初深加工区、肉类加工区、冷链仓储区、农机服务区、技术研发中心、配套公共服务区，配套总容量800万吨标准化粮仓，年加工大豆1440万吨、玉米4320万吨，年出栏生猪2000万头、肉牛800万头。</w:t>
      </w:r>
    </w:p>
    <w:p>
      <w:pPr>
        <w:spacing w:before="260" w:after="120" w:line="288" w:lineRule="auto"/>
        <w:outlineLvl w:val="3"/>
        <w:rPr>
          <w:rFonts w:hint="eastAsia"/>
        </w:rPr>
      </w:pPr>
      <w:bookmarkStart w:id="27" w:name="heading_27"/>
      <w:r>
        <w:rPr>
          <w:rFonts w:ascii="Arial" w:hAnsi="Arial" w:eastAsia="等线" w:cs="Arial"/>
          <w:b/>
          <w:sz w:val="28"/>
        </w:rPr>
        <w:t>2. 马尔科沃加工制造型境外经贸合作区</w:t>
      </w:r>
      <w:bookmarkEnd w:id="27"/>
    </w:p>
    <w:p>
      <w:pPr>
        <w:numPr>
          <w:ilvl w:val="0"/>
          <w:numId w:val="37"/>
        </w:numPr>
        <w:spacing w:before="120" w:after="120" w:line="288" w:lineRule="auto"/>
        <w:rPr>
          <w:rFonts w:hint="eastAsia"/>
        </w:rPr>
      </w:pPr>
      <w:r>
        <w:rPr>
          <w:rFonts w:ascii="Arial" w:hAnsi="Arial" w:eastAsia="等线" w:cs="Arial"/>
          <w:b/>
        </w:rPr>
        <w:t>选址</w:t>
      </w:r>
      <w:r>
        <w:rPr>
          <w:rFonts w:ascii="Arial" w:hAnsi="Arial" w:eastAsia="等线" w:cs="Arial"/>
        </w:rPr>
        <w:t>：俄罗斯滨海边疆区列索扎沃茨克市</w:t>
      </w:r>
    </w:p>
    <w:p>
      <w:pPr>
        <w:numPr>
          <w:ilvl w:val="0"/>
          <w:numId w:val="38"/>
        </w:numPr>
        <w:spacing w:before="120" w:after="120" w:line="288" w:lineRule="auto"/>
        <w:rPr>
          <w:rFonts w:hint="eastAsia"/>
        </w:rPr>
      </w:pPr>
      <w:r>
        <w:rPr>
          <w:rFonts w:ascii="Arial" w:hAnsi="Arial" w:eastAsia="等线" w:cs="Arial"/>
          <w:b/>
        </w:rPr>
        <w:t>规划面积</w:t>
      </w:r>
      <w:r>
        <w:rPr>
          <w:rFonts w:ascii="Arial" w:hAnsi="Arial" w:eastAsia="等线" w:cs="Arial"/>
        </w:rPr>
        <w:t>：30万亩</w:t>
      </w:r>
    </w:p>
    <w:p>
      <w:pPr>
        <w:numPr>
          <w:ilvl w:val="0"/>
          <w:numId w:val="39"/>
        </w:numPr>
        <w:spacing w:before="120" w:after="120" w:line="288" w:lineRule="auto"/>
        <w:rPr>
          <w:rFonts w:hint="eastAsia"/>
        </w:rPr>
      </w:pPr>
      <w:r>
        <w:rPr>
          <w:rFonts w:ascii="Arial" w:hAnsi="Arial" w:eastAsia="等线" w:cs="Arial"/>
          <w:b/>
        </w:rPr>
        <w:t>功能定位</w:t>
      </w:r>
      <w:r>
        <w:rPr>
          <w:rFonts w:ascii="Arial" w:hAnsi="Arial" w:eastAsia="等线" w:cs="Arial"/>
        </w:rPr>
        <w:t>：中俄跨境农机装备制造核心基地，全产业链配套装备与建材生产中心，与中国虎林口岸共建“两国双园”，享受海关保税区政策，按加工制造型境外经贸合作区标准建设。</w:t>
      </w:r>
    </w:p>
    <w:p>
      <w:pPr>
        <w:numPr>
          <w:ilvl w:val="0"/>
          <w:numId w:val="40"/>
        </w:numPr>
        <w:spacing w:before="120" w:after="120" w:line="288" w:lineRule="auto"/>
        <w:rPr>
          <w:rFonts w:hint="eastAsia"/>
        </w:rPr>
      </w:pPr>
      <w:r>
        <w:rPr>
          <w:rFonts w:ascii="Arial" w:hAnsi="Arial" w:eastAsia="等线" w:cs="Arial"/>
          <w:b/>
        </w:rPr>
        <w:t>核心建设内容</w:t>
      </w:r>
      <w:r>
        <w:rPr>
          <w:rFonts w:ascii="Arial" w:hAnsi="Arial" w:eastAsia="等线" w:cs="Arial"/>
        </w:rPr>
        <w:t>：农机整机生产区、机械配件制造区、建筑材料加工区、仓储设施生产区、保税加工区、研发检测中心、跨境物流配套区，年生产拖拉机2万台、收割机1.5万台、钢材280万吨，为全项目提供农机、建材、仓储设施本土化配套。</w:t>
      </w:r>
    </w:p>
    <w:p>
      <w:pPr>
        <w:spacing w:before="260" w:after="120" w:line="288" w:lineRule="auto"/>
        <w:outlineLvl w:val="3"/>
        <w:rPr>
          <w:rFonts w:hint="eastAsia"/>
        </w:rPr>
      </w:pPr>
      <w:bookmarkStart w:id="28" w:name="heading_28"/>
      <w:r>
        <w:rPr>
          <w:rFonts w:ascii="Arial" w:hAnsi="Arial" w:eastAsia="等线" w:cs="Arial"/>
          <w:b/>
          <w:sz w:val="28"/>
        </w:rPr>
        <w:t>3. 萨里哈尔德资源利用型境外经贸合作区</w:t>
      </w:r>
      <w:bookmarkEnd w:id="28"/>
    </w:p>
    <w:p>
      <w:pPr>
        <w:numPr>
          <w:ilvl w:val="0"/>
          <w:numId w:val="41"/>
        </w:numPr>
        <w:spacing w:before="120" w:after="120" w:line="288" w:lineRule="auto"/>
        <w:rPr>
          <w:rFonts w:hint="eastAsia"/>
        </w:rPr>
      </w:pPr>
      <w:r>
        <w:rPr>
          <w:rFonts w:ascii="Arial" w:hAnsi="Arial" w:eastAsia="等线" w:cs="Arial"/>
          <w:b/>
        </w:rPr>
        <w:t>选址</w:t>
      </w:r>
      <w:r>
        <w:rPr>
          <w:rFonts w:ascii="Arial" w:hAnsi="Arial" w:eastAsia="等线" w:cs="Arial"/>
        </w:rPr>
        <w:t>：俄罗斯亚马尔-涅涅茨自治区萨里哈尔德市</w:t>
      </w:r>
    </w:p>
    <w:p>
      <w:pPr>
        <w:numPr>
          <w:ilvl w:val="0"/>
          <w:numId w:val="42"/>
        </w:numPr>
        <w:spacing w:before="120" w:after="120" w:line="288" w:lineRule="auto"/>
        <w:rPr>
          <w:rFonts w:hint="eastAsia"/>
        </w:rPr>
      </w:pPr>
      <w:r>
        <w:rPr>
          <w:rFonts w:ascii="Arial" w:hAnsi="Arial" w:eastAsia="等线" w:cs="Arial"/>
          <w:b/>
        </w:rPr>
        <w:t>规划面积</w:t>
      </w:r>
      <w:r>
        <w:rPr>
          <w:rFonts w:ascii="Arial" w:hAnsi="Arial" w:eastAsia="等线" w:cs="Arial"/>
        </w:rPr>
        <w:t>：20万亩</w:t>
      </w:r>
    </w:p>
    <w:p>
      <w:pPr>
        <w:numPr>
          <w:ilvl w:val="0"/>
          <w:numId w:val="43"/>
        </w:numPr>
        <w:spacing w:before="120" w:after="120" w:line="288" w:lineRule="auto"/>
        <w:rPr>
          <w:rFonts w:hint="eastAsia"/>
        </w:rPr>
      </w:pPr>
      <w:r>
        <w:rPr>
          <w:rFonts w:ascii="Arial" w:hAnsi="Arial" w:eastAsia="等线" w:cs="Arial"/>
          <w:b/>
        </w:rPr>
        <w:t>功能定位</w:t>
      </w:r>
      <w:r>
        <w:rPr>
          <w:rFonts w:ascii="Arial" w:hAnsi="Arial" w:eastAsia="等线" w:cs="Arial"/>
        </w:rPr>
        <w:t>：中俄北极能源化工配套基地，全产业链农资与基础化工原料生产中心，依托俄罗斯北极能源资源实现化肥、农药本土化生产，按资源利用型境外经贸合作区标准建设。</w:t>
      </w:r>
    </w:p>
    <w:p>
      <w:pPr>
        <w:numPr>
          <w:ilvl w:val="0"/>
          <w:numId w:val="44"/>
        </w:numPr>
        <w:spacing w:before="120" w:after="120" w:line="288" w:lineRule="auto"/>
        <w:rPr>
          <w:rFonts w:hint="eastAsia"/>
        </w:rPr>
      </w:pPr>
      <w:r>
        <w:rPr>
          <w:rFonts w:ascii="Arial" w:hAnsi="Arial" w:eastAsia="等线" w:cs="Arial"/>
          <w:b/>
        </w:rPr>
        <w:t>核心建设内容</w:t>
      </w:r>
      <w:r>
        <w:rPr>
          <w:rFonts w:ascii="Arial" w:hAnsi="Arial" w:eastAsia="等线" w:cs="Arial"/>
        </w:rPr>
        <w:t>：化肥生产区、农药生产区、基础化工原料生产区、农资仓储配送区、能源配套区、环保处理区、安全防护区，配套入园企业投资的天然气发电站，年生产尿素500万吨、磷酸一铵/二铵各150万吨，年发电150亿千瓦时，为全项目提供化肥、农药、电力能源本土化供应。</w:t>
      </w:r>
    </w:p>
    <w:p>
      <w:pPr>
        <w:spacing w:before="300" w:after="120" w:line="288" w:lineRule="auto"/>
        <w:outlineLvl w:val="2"/>
        <w:rPr>
          <w:rFonts w:hint="eastAsia"/>
        </w:rPr>
      </w:pPr>
      <w:bookmarkStart w:id="29" w:name="heading_29"/>
      <w:r>
        <w:rPr>
          <w:rFonts w:ascii="Arial" w:hAnsi="Arial" w:eastAsia="等线" w:cs="Arial"/>
          <w:b/>
          <w:sz w:val="30"/>
        </w:rPr>
        <w:t>（三）双跨境物流通道</w:t>
      </w:r>
      <w:bookmarkEnd w:id="29"/>
    </w:p>
    <w:p>
      <w:pPr>
        <w:spacing w:before="120" w:after="120" w:line="288" w:lineRule="auto"/>
        <w:rPr>
          <w:rFonts w:hint="eastAsia"/>
        </w:rPr>
      </w:pPr>
      <w:r>
        <w:rPr>
          <w:rFonts w:ascii="Arial" w:hAnsi="Arial" w:eastAsia="等线" w:cs="Arial"/>
        </w:rPr>
        <w:t>构建“中西部北极航运主通道、远东铁路内河辅助通道”双物流体系，全面承接耕地粮食出口运输需求，与三大种植片区、三大核心园区实现无缝衔接，总设计粮食运输运力2700万吨/年。</w:t>
      </w:r>
    </w:p>
    <w:p>
      <w:pPr>
        <w:spacing w:before="260" w:after="120" w:line="288" w:lineRule="auto"/>
        <w:outlineLvl w:val="3"/>
        <w:rPr>
          <w:rFonts w:hint="eastAsia"/>
        </w:rPr>
      </w:pPr>
      <w:bookmarkStart w:id="30" w:name="heading_30"/>
      <w:r>
        <w:rPr>
          <w:rFonts w:ascii="Arial" w:hAnsi="Arial" w:eastAsia="等线" w:cs="Arial"/>
          <w:b/>
          <w:sz w:val="28"/>
        </w:rPr>
        <w:t>1. 中西部北极航运主通道</w:t>
      </w:r>
      <w:bookmarkEnd w:id="30"/>
    </w:p>
    <w:p>
      <w:pPr>
        <w:numPr>
          <w:ilvl w:val="0"/>
          <w:numId w:val="45"/>
        </w:numPr>
        <w:spacing w:before="120" w:after="120" w:line="288" w:lineRule="auto"/>
        <w:rPr>
          <w:rFonts w:hint="eastAsia"/>
        </w:rPr>
      </w:pPr>
      <w:r>
        <w:rPr>
          <w:rFonts w:ascii="Arial" w:hAnsi="Arial" w:eastAsia="等线" w:cs="Arial"/>
          <w:b/>
        </w:rPr>
        <w:t>核心构成</w:t>
      </w:r>
      <w:r>
        <w:rPr>
          <w:rFonts w:ascii="Arial" w:hAnsi="Arial" w:eastAsia="等线" w:cs="Arial"/>
        </w:rPr>
        <w:t>：鄂毕-额尔齐斯河、伏尔加河、叶尼塞河三大内河航运走廊+北方海航道主通道，配套6大核心港口、12个内河集散节点。</w:t>
      </w:r>
    </w:p>
    <w:p>
      <w:pPr>
        <w:numPr>
          <w:ilvl w:val="0"/>
          <w:numId w:val="46"/>
        </w:numPr>
        <w:spacing w:before="120" w:after="120" w:line="288" w:lineRule="auto"/>
        <w:rPr>
          <w:rFonts w:hint="eastAsia"/>
        </w:rPr>
      </w:pPr>
      <w:r>
        <w:rPr>
          <w:rFonts w:ascii="Arial" w:hAnsi="Arial" w:eastAsia="等线" w:cs="Arial"/>
          <w:b/>
        </w:rPr>
        <w:t>覆盖范围</w:t>
      </w:r>
      <w:r>
        <w:rPr>
          <w:rFonts w:ascii="Arial" w:hAnsi="Arial" w:eastAsia="等线" w:cs="Arial"/>
        </w:rPr>
        <w:t>：中部、西部种植片区2.3亿亩耕地，农业园区、化工园区核心产能，总设计运力2100万吨/年。</w:t>
      </w:r>
    </w:p>
    <w:p>
      <w:pPr>
        <w:numPr>
          <w:ilvl w:val="0"/>
          <w:numId w:val="47"/>
        </w:numPr>
        <w:spacing w:before="120" w:after="120" w:line="288" w:lineRule="auto"/>
        <w:rPr>
          <w:rFonts w:hint="eastAsia"/>
        </w:rPr>
      </w:pPr>
      <w:r>
        <w:rPr>
          <w:rFonts w:ascii="Arial" w:hAnsi="Arial" w:eastAsia="等线" w:cs="Arial"/>
          <w:b/>
        </w:rPr>
        <w:t>物流模式</w:t>
      </w:r>
      <w:r>
        <w:rPr>
          <w:rFonts w:ascii="Arial" w:hAnsi="Arial" w:eastAsia="等线" w:cs="Arial"/>
        </w:rPr>
        <w:t>：采用“内河接力集并+港口河海换装+北极海运分拨+铁水联运兜底”模式，通过三大内河走廊实现粮食从产区到北极港口的集并，经北方海航道直达中国天津、青岛、日照等北方核心港口，内河封冻期通过铁路网络实现运力兜底。</w:t>
      </w:r>
    </w:p>
    <w:p>
      <w:pPr>
        <w:numPr>
          <w:ilvl w:val="0"/>
          <w:numId w:val="48"/>
        </w:numPr>
        <w:spacing w:before="120" w:after="120" w:line="288" w:lineRule="auto"/>
        <w:rPr>
          <w:rFonts w:hint="eastAsia"/>
        </w:rPr>
      </w:pPr>
      <w:r>
        <w:rPr>
          <w:rFonts w:ascii="Arial" w:hAnsi="Arial" w:eastAsia="等线" w:cs="Arial"/>
          <w:b/>
        </w:rPr>
        <w:t>核心建设内容</w:t>
      </w:r>
      <w:r>
        <w:rPr>
          <w:rFonts w:ascii="Arial" w:hAnsi="Arial" w:eastAsia="等线" w:cs="Arial"/>
        </w:rPr>
        <w:t>：三大内河走廊航道常态化疏浚与整治，萨别塔、阿尔汉格尔斯克、伊加尔卡、杜金卡4大核心港口粮食专用泊位、仓储与装卸系统建设，12个内河集散节点粮仓、码头、铁路专用线配套，适配内河、北极航道的标准化船队配置，全链路智能化调度系统建设。</w:t>
      </w:r>
    </w:p>
    <w:p>
      <w:pPr>
        <w:spacing w:before="260" w:after="120" w:line="288" w:lineRule="auto"/>
        <w:outlineLvl w:val="3"/>
        <w:rPr>
          <w:rFonts w:hint="eastAsia"/>
        </w:rPr>
      </w:pPr>
      <w:bookmarkStart w:id="31" w:name="heading_31"/>
      <w:r>
        <w:rPr>
          <w:rFonts w:ascii="Arial" w:hAnsi="Arial" w:eastAsia="等线" w:cs="Arial"/>
          <w:b/>
          <w:sz w:val="28"/>
        </w:rPr>
        <w:t>2. 远东铁路内河辅助通道</w:t>
      </w:r>
      <w:bookmarkEnd w:id="31"/>
    </w:p>
    <w:p>
      <w:pPr>
        <w:numPr>
          <w:ilvl w:val="0"/>
          <w:numId w:val="49"/>
        </w:numPr>
        <w:spacing w:before="120" w:after="120" w:line="288" w:lineRule="auto"/>
        <w:rPr>
          <w:rFonts w:hint="eastAsia"/>
        </w:rPr>
      </w:pPr>
      <w:r>
        <w:rPr>
          <w:rFonts w:ascii="Arial" w:hAnsi="Arial" w:eastAsia="等线" w:cs="Arial"/>
          <w:b/>
        </w:rPr>
        <w:t>核心构成</w:t>
      </w:r>
      <w:r>
        <w:rPr>
          <w:rFonts w:ascii="Arial" w:hAnsi="Arial" w:eastAsia="等线" w:cs="Arial"/>
        </w:rPr>
        <w:t>：阿穆尔-乌苏里-贝加尔东部内河航运走廊+虎林-列索扎沃茨克铁路专用线，配套哈巴罗夫斯克、抚远、符拉迪沃斯托克3大核心港口、6个内河集散节点。</w:t>
      </w:r>
    </w:p>
    <w:p>
      <w:pPr>
        <w:numPr>
          <w:ilvl w:val="0"/>
          <w:numId w:val="50"/>
        </w:numPr>
        <w:spacing w:before="120" w:after="120" w:line="288" w:lineRule="auto"/>
        <w:rPr>
          <w:rFonts w:hint="eastAsia"/>
        </w:rPr>
      </w:pPr>
      <w:r>
        <w:rPr>
          <w:rFonts w:ascii="Arial" w:hAnsi="Arial" w:eastAsia="等线" w:cs="Arial"/>
          <w:b/>
        </w:rPr>
        <w:t>覆盖范围</w:t>
      </w:r>
      <w:r>
        <w:rPr>
          <w:rFonts w:ascii="Arial" w:hAnsi="Arial" w:eastAsia="等线" w:cs="Arial"/>
        </w:rPr>
        <w:t>：远东种植片区7000万亩耕地，马尔科沃工业园区产能，总设计运力600万吨/年。</w:t>
      </w:r>
    </w:p>
    <w:p>
      <w:pPr>
        <w:numPr>
          <w:ilvl w:val="0"/>
          <w:numId w:val="51"/>
        </w:numPr>
        <w:spacing w:before="120" w:after="120" w:line="288" w:lineRule="auto"/>
        <w:rPr>
          <w:rFonts w:hint="eastAsia"/>
        </w:rPr>
      </w:pPr>
      <w:r>
        <w:rPr>
          <w:rFonts w:ascii="Arial" w:hAnsi="Arial" w:eastAsia="等线" w:cs="Arial"/>
          <w:b/>
        </w:rPr>
        <w:t>物流模式</w:t>
      </w:r>
      <w:r>
        <w:rPr>
          <w:rFonts w:ascii="Arial" w:hAnsi="Arial" w:eastAsia="等线" w:cs="Arial"/>
        </w:rPr>
        <w:t>：采用“内河直达+跨境换装+海运分拨”“铁路集并+铁水联运”双模式并行，粮食经内河航道直达抚远港跨境换装进入中国东北粮仓，或经符拉迪沃斯托克港海运至中国南方港口，同步通过虎列铁路实现高附加值产品与农资的快速跨境运输。</w:t>
      </w:r>
    </w:p>
    <w:p>
      <w:pPr>
        <w:numPr>
          <w:ilvl w:val="0"/>
          <w:numId w:val="52"/>
        </w:numPr>
        <w:spacing w:before="120" w:after="120" w:line="288" w:lineRule="auto"/>
        <w:rPr>
          <w:rFonts w:hint="eastAsia"/>
        </w:rPr>
      </w:pPr>
      <w:r>
        <w:rPr>
          <w:rFonts w:ascii="Arial" w:hAnsi="Arial" w:eastAsia="等线" w:cs="Arial"/>
          <w:b/>
        </w:rPr>
        <w:t>核心建设内容</w:t>
      </w:r>
      <w:r>
        <w:rPr>
          <w:rFonts w:ascii="Arial" w:hAnsi="Arial" w:eastAsia="等线" w:cs="Arial"/>
        </w:rPr>
        <w:t>：阿穆尔河航道整治，哈巴罗夫斯克、抚远、符拉迪沃斯托克港口粮食专用泊位与仓储系统建设，列索扎沃茨克马尔科沃园区专用港建设，6个内河集散节点配套设施，虎列铁路专用线全线建设与智能化改造，适配内河与近海运输的船队配置。</w:t>
      </w:r>
    </w:p>
    <w:p>
      <w:pPr>
        <w:spacing w:before="300" w:after="120" w:line="288" w:lineRule="auto"/>
        <w:outlineLvl w:val="2"/>
        <w:rPr>
          <w:rFonts w:hint="eastAsia"/>
        </w:rPr>
      </w:pPr>
      <w:bookmarkStart w:id="32" w:name="heading_32"/>
      <w:r>
        <w:rPr>
          <w:rFonts w:ascii="Arial" w:hAnsi="Arial" w:eastAsia="等线" w:cs="Arial"/>
          <w:b/>
          <w:sz w:val="30"/>
        </w:rPr>
        <w:t>（四）中俄“两国双园”协同载体</w:t>
      </w:r>
      <w:bookmarkEnd w:id="32"/>
    </w:p>
    <w:p>
      <w:pPr>
        <w:numPr>
          <w:ilvl w:val="0"/>
          <w:numId w:val="53"/>
        </w:numPr>
        <w:spacing w:before="120" w:after="120" w:line="288" w:lineRule="auto"/>
        <w:rPr>
          <w:rFonts w:hint="eastAsia"/>
        </w:rPr>
      </w:pPr>
      <w:r>
        <w:rPr>
          <w:rFonts w:ascii="Arial" w:hAnsi="Arial" w:eastAsia="等线" w:cs="Arial"/>
          <w:b/>
        </w:rPr>
        <w:t>空间布局</w:t>
      </w:r>
      <w:r>
        <w:rPr>
          <w:rFonts w:ascii="Arial" w:hAnsi="Arial" w:eastAsia="等线" w:cs="Arial"/>
        </w:rPr>
        <w:t>：中国虎林口岸园区+俄罗斯马尔科沃工业园区，采用“中俄背靠背、跨境一体化”协作模式。</w:t>
      </w:r>
    </w:p>
    <w:p>
      <w:pPr>
        <w:numPr>
          <w:ilvl w:val="0"/>
          <w:numId w:val="54"/>
        </w:numPr>
        <w:spacing w:before="120" w:after="120" w:line="288" w:lineRule="auto"/>
        <w:rPr>
          <w:rFonts w:hint="eastAsia"/>
        </w:rPr>
      </w:pPr>
      <w:r>
        <w:rPr>
          <w:rFonts w:ascii="Arial" w:hAnsi="Arial" w:eastAsia="等线" w:cs="Arial"/>
          <w:b/>
        </w:rPr>
        <w:t>功能定位</w:t>
      </w:r>
      <w:r>
        <w:rPr>
          <w:rFonts w:ascii="Arial" w:hAnsi="Arial" w:eastAsia="等线" w:cs="Arial"/>
        </w:rPr>
        <w:t>：中俄跨境产业协作核心平台，全产业链跨境通关、保税加工、技术研发、结算服务枢纽，实现“境内研发+境外制造、境内供应+境外组装、境内结算+境外运营”。</w:t>
      </w:r>
    </w:p>
    <w:p>
      <w:pPr>
        <w:numPr>
          <w:ilvl w:val="0"/>
          <w:numId w:val="55"/>
        </w:numPr>
        <w:spacing w:before="120" w:after="120" w:line="288" w:lineRule="auto"/>
        <w:rPr>
          <w:rFonts w:hint="eastAsia"/>
        </w:rPr>
      </w:pPr>
      <w:r>
        <w:rPr>
          <w:rFonts w:ascii="Arial" w:hAnsi="Arial" w:eastAsia="等线" w:cs="Arial"/>
          <w:b/>
        </w:rPr>
        <w:t>核心建设内容</w:t>
      </w:r>
      <w:r>
        <w:rPr>
          <w:rFonts w:ascii="Arial" w:hAnsi="Arial" w:eastAsia="等线" w:cs="Arial"/>
        </w:rPr>
        <w:t>：虎林口岸园区配套跨境物流枢纽、保税仓储区、研发中心、报关报检中心、境内结算平台；马尔科沃园区配套标准化厂房、保税加工区、铁路场站、跨境人员服务中心；建设虎列铁路专用线实现双园无缝衔接，配套中俄联合通关系统，实现货物“当日过境、次日送达”。</w:t>
      </w:r>
    </w:p>
    <w:p>
      <w:pPr>
        <w:spacing w:before="300" w:after="120" w:line="288" w:lineRule="auto"/>
        <w:outlineLvl w:val="2"/>
        <w:rPr>
          <w:rFonts w:hint="eastAsia"/>
        </w:rPr>
      </w:pPr>
      <w:bookmarkStart w:id="33" w:name="heading_33"/>
      <w:r>
        <w:rPr>
          <w:rFonts w:ascii="Arial" w:hAnsi="Arial" w:eastAsia="等线" w:cs="Arial"/>
          <w:b/>
          <w:sz w:val="30"/>
        </w:rPr>
        <w:t>（五）一个全球服务中枢</w:t>
      </w:r>
      <w:bookmarkEnd w:id="33"/>
    </w:p>
    <w:p>
      <w:pPr>
        <w:numPr>
          <w:ilvl w:val="0"/>
          <w:numId w:val="56"/>
        </w:numPr>
        <w:spacing w:before="120" w:after="120" w:line="288" w:lineRule="auto"/>
        <w:rPr>
          <w:rFonts w:hint="eastAsia"/>
        </w:rPr>
      </w:pPr>
      <w:r>
        <w:rPr>
          <w:rFonts w:ascii="Arial" w:hAnsi="Arial" w:eastAsia="等线" w:cs="Arial"/>
          <w:b/>
        </w:rPr>
        <w:t>选址</w:t>
      </w:r>
      <w:r>
        <w:rPr>
          <w:rFonts w:ascii="Arial" w:hAnsi="Arial" w:eastAsia="等线" w:cs="Arial"/>
        </w:rPr>
        <w:t>：中国北京/上海</w:t>
      </w:r>
    </w:p>
    <w:p>
      <w:pPr>
        <w:numPr>
          <w:ilvl w:val="0"/>
          <w:numId w:val="57"/>
        </w:numPr>
        <w:spacing w:before="120" w:after="120" w:line="288" w:lineRule="auto"/>
        <w:rPr>
          <w:rFonts w:hint="eastAsia"/>
        </w:rPr>
      </w:pPr>
      <w:r>
        <w:rPr>
          <w:rFonts w:ascii="Arial" w:hAnsi="Arial" w:eastAsia="等线" w:cs="Arial"/>
          <w:b/>
        </w:rPr>
        <w:t>功能定位</w:t>
      </w:r>
      <w:r>
        <w:rPr>
          <w:rFonts w:ascii="Arial" w:hAnsi="Arial" w:eastAsia="等线" w:cs="Arial"/>
        </w:rPr>
        <w:t>：项目全球统筹管理中枢，全产业链资金结算、政策对接、技术研发、招商服务、风险管控核心平台。</w:t>
      </w:r>
    </w:p>
    <w:p>
      <w:pPr>
        <w:numPr>
          <w:ilvl w:val="0"/>
          <w:numId w:val="58"/>
        </w:numPr>
        <w:spacing w:before="120" w:after="120" w:line="288" w:lineRule="auto"/>
        <w:rPr>
          <w:rFonts w:hint="eastAsia"/>
        </w:rPr>
      </w:pPr>
      <w:r>
        <w:rPr>
          <w:rFonts w:ascii="Arial" w:hAnsi="Arial" w:eastAsia="等线" w:cs="Arial"/>
          <w:b/>
        </w:rPr>
        <w:t>核心建设内容</w:t>
      </w:r>
      <w:r>
        <w:rPr>
          <w:rFonts w:ascii="Arial" w:hAnsi="Arial" w:eastAsia="等线" w:cs="Arial"/>
        </w:rPr>
        <w:t>：境内集中结算平台、中俄跨境政策对接中心、全产业链技术研发中心、全球招商服务中心、数字化智能管控中心、风险防控与应急指挥中心，实现“境外运营、境内结算、中枢统筹、全球协同”的管理模式。</w:t>
      </w:r>
    </w:p>
    <w:p>
      <w:pPr>
        <w:spacing w:before="320" w:after="120" w:line="288" w:lineRule="auto"/>
        <w:outlineLvl w:val="1"/>
        <w:rPr>
          <w:rFonts w:hint="eastAsia"/>
        </w:rPr>
      </w:pPr>
      <w:bookmarkStart w:id="34" w:name="heading_34"/>
      <w:r>
        <w:rPr>
          <w:rFonts w:ascii="Arial" w:hAnsi="Arial" w:eastAsia="等线" w:cs="Arial"/>
          <w:b/>
          <w:sz w:val="32"/>
        </w:rPr>
        <w:t>五、全产业链体系规划</w:t>
      </w:r>
      <w:bookmarkEnd w:id="34"/>
    </w:p>
    <w:p>
      <w:pPr>
        <w:spacing w:before="120" w:after="120" w:line="288" w:lineRule="auto"/>
        <w:rPr>
          <w:rFonts w:hint="eastAsia"/>
        </w:rPr>
      </w:pPr>
      <w:r>
        <w:rPr>
          <w:rFonts w:ascii="Arial" w:hAnsi="Arial" w:eastAsia="等线" w:cs="Arial"/>
        </w:rPr>
        <w:t>以耕地规模化种植为核心，构建“核心产业链、配套产业链、服务支撑链”三位一体的全产业链体系，实现全环节本土化、全链条闭环化、全流程智能化发展。</w:t>
      </w:r>
    </w:p>
    <w:p>
      <w:pPr>
        <w:spacing w:before="300" w:after="120" w:line="288" w:lineRule="auto"/>
        <w:outlineLvl w:val="2"/>
        <w:rPr>
          <w:rFonts w:hint="eastAsia"/>
        </w:rPr>
      </w:pPr>
      <w:bookmarkStart w:id="35" w:name="heading_35"/>
      <w:r>
        <w:rPr>
          <w:rFonts w:ascii="Arial" w:hAnsi="Arial" w:eastAsia="等线" w:cs="Arial"/>
          <w:b/>
          <w:sz w:val="30"/>
        </w:rPr>
        <w:t>（一）核心产业链：种植-加工-贸易一体化体系</w:t>
      </w:r>
      <w:bookmarkEnd w:id="35"/>
    </w:p>
    <w:p>
      <w:pPr>
        <w:spacing w:before="260" w:after="120" w:line="288" w:lineRule="auto"/>
        <w:outlineLvl w:val="3"/>
        <w:rPr>
          <w:rFonts w:hint="eastAsia"/>
        </w:rPr>
      </w:pPr>
      <w:bookmarkStart w:id="36" w:name="heading_36"/>
      <w:r>
        <w:rPr>
          <w:rFonts w:ascii="Arial" w:hAnsi="Arial" w:eastAsia="等线" w:cs="Arial"/>
          <w:b/>
          <w:sz w:val="28"/>
        </w:rPr>
        <w:t>1. 规模化种植体系</w:t>
      </w:r>
      <w:bookmarkEnd w:id="36"/>
    </w:p>
    <w:p>
      <w:pPr>
        <w:numPr>
          <w:ilvl w:val="0"/>
          <w:numId w:val="59"/>
        </w:numPr>
        <w:spacing w:before="120" w:after="120" w:line="288" w:lineRule="auto"/>
        <w:rPr>
          <w:rFonts w:hint="eastAsia"/>
        </w:rPr>
      </w:pPr>
      <w:r>
        <w:rPr>
          <w:rFonts w:ascii="Arial" w:hAnsi="Arial" w:eastAsia="等线" w:cs="Arial"/>
          <w:b/>
        </w:rPr>
        <w:t>种植布局</w:t>
      </w:r>
      <w:r>
        <w:rPr>
          <w:rFonts w:ascii="Arial" w:hAnsi="Arial" w:eastAsia="等线" w:cs="Arial"/>
        </w:rPr>
        <w:t>：分区域制定标准化种植方案，中部伏尔加片区以玉米、小麦为主，西部西伯利亚片区以大豆、玉米为主，远东片区以大豆、水稻为主，推广“大豆-玉米轮作”生态种植模式，提升土地可持续利用能力。</w:t>
      </w:r>
    </w:p>
    <w:p>
      <w:pPr>
        <w:numPr>
          <w:ilvl w:val="0"/>
          <w:numId w:val="60"/>
        </w:numPr>
        <w:spacing w:before="120" w:after="120" w:line="288" w:lineRule="auto"/>
        <w:rPr>
          <w:rFonts w:hint="eastAsia"/>
        </w:rPr>
      </w:pPr>
      <w:r>
        <w:rPr>
          <w:rFonts w:ascii="Arial" w:hAnsi="Arial" w:eastAsia="等线" w:cs="Arial"/>
          <w:b/>
        </w:rPr>
        <w:t>种植标准</w:t>
      </w:r>
      <w:r>
        <w:rPr>
          <w:rFonts w:ascii="Arial" w:hAnsi="Arial" w:eastAsia="等线" w:cs="Arial"/>
        </w:rPr>
        <w:t>：制定中俄双认证的标准化种植规程，全程实现机械化、智能化、规模化种植，推广精准播种、测土配方施肥、绿色病虫害防控技术，实现大豆平均亩产120公斤、玉米平均亩产360公斤，达到俄罗斯区域领先水平。</w:t>
      </w:r>
    </w:p>
    <w:p>
      <w:pPr>
        <w:numPr>
          <w:ilvl w:val="0"/>
          <w:numId w:val="61"/>
        </w:numPr>
        <w:spacing w:before="120" w:after="120" w:line="288" w:lineRule="auto"/>
        <w:rPr>
          <w:rFonts w:hint="eastAsia"/>
        </w:rPr>
      </w:pPr>
      <w:r>
        <w:rPr>
          <w:rFonts w:ascii="Arial" w:hAnsi="Arial" w:eastAsia="等线" w:cs="Arial"/>
          <w:b/>
        </w:rPr>
        <w:t>种植模式</w:t>
      </w:r>
      <w:r>
        <w:rPr>
          <w:rFonts w:ascii="Arial" w:hAnsi="Arial" w:eastAsia="等线" w:cs="Arial"/>
        </w:rPr>
        <w:t>：采用“央企平台+龙头企业+属地农场”合作模式，中海外集团完成土地确权后，租赁给国内龙头种植企业与俄罗斯属地农场，提供统一的种子、化肥、农机、技术指导，实现标准化、集约化种植。</w:t>
      </w:r>
    </w:p>
    <w:p>
      <w:pPr>
        <w:numPr>
          <w:ilvl w:val="0"/>
          <w:numId w:val="62"/>
        </w:numPr>
        <w:spacing w:before="120" w:after="120" w:line="288" w:lineRule="auto"/>
        <w:rPr>
          <w:rFonts w:hint="eastAsia"/>
        </w:rPr>
      </w:pPr>
      <w:r>
        <w:rPr>
          <w:rFonts w:ascii="Arial" w:hAnsi="Arial" w:eastAsia="等线" w:cs="Arial"/>
          <w:b/>
        </w:rPr>
        <w:t>产能规划</w:t>
      </w:r>
      <w:r>
        <w:rPr>
          <w:rFonts w:ascii="Arial" w:hAnsi="Arial" w:eastAsia="等线" w:cs="Arial"/>
        </w:rPr>
        <w:t>：启动期试点种植8000万亩，年产能大豆384万吨、玉米1152万吨；扩能期种植2亿亩，年产能大豆1152万吨、玉米3456万吨；达产期全面投产，年稳定产能大豆1440万吨、玉米4320万吨，配套小麦、油菜等经济作物产能超1000万吨。</w:t>
      </w:r>
    </w:p>
    <w:p>
      <w:pPr>
        <w:spacing w:before="260" w:after="120" w:line="288" w:lineRule="auto"/>
        <w:outlineLvl w:val="3"/>
        <w:rPr>
          <w:rFonts w:hint="eastAsia"/>
        </w:rPr>
      </w:pPr>
      <w:bookmarkStart w:id="37" w:name="heading_37"/>
      <w:r>
        <w:rPr>
          <w:rFonts w:ascii="Arial" w:hAnsi="Arial" w:eastAsia="等线" w:cs="Arial"/>
          <w:b/>
          <w:sz w:val="28"/>
        </w:rPr>
        <w:t>2. 农产品加工体系</w:t>
      </w:r>
      <w:bookmarkEnd w:id="37"/>
    </w:p>
    <w:p>
      <w:pPr>
        <w:numPr>
          <w:ilvl w:val="0"/>
          <w:numId w:val="63"/>
        </w:numPr>
        <w:spacing w:before="120" w:after="120" w:line="288" w:lineRule="auto"/>
        <w:rPr>
          <w:rFonts w:hint="eastAsia"/>
        </w:rPr>
      </w:pPr>
      <w:r>
        <w:rPr>
          <w:rFonts w:ascii="Arial" w:hAnsi="Arial" w:eastAsia="等线" w:cs="Arial"/>
          <w:b/>
        </w:rPr>
        <w:t>初加工板块</w:t>
      </w:r>
      <w:r>
        <w:rPr>
          <w:rFonts w:ascii="Arial" w:hAnsi="Arial" w:eastAsia="等线" w:cs="Arial"/>
        </w:rPr>
        <w:t>：在三大种植片区18个内河集散节点配套粮食烘干、清选、仓储初加工设施，实现粮食产地初加工，降低运输损耗，配套总仓容1200万吨标准化粮仓，可实现粮食低价期集中收储、通航期均衡发运，平抑季节性价格波动。</w:t>
      </w:r>
    </w:p>
    <w:p>
      <w:pPr>
        <w:numPr>
          <w:ilvl w:val="0"/>
          <w:numId w:val="64"/>
        </w:numPr>
        <w:spacing w:before="120" w:after="120" w:line="288" w:lineRule="auto"/>
        <w:rPr>
          <w:rFonts w:hint="eastAsia"/>
        </w:rPr>
      </w:pPr>
      <w:r>
        <w:rPr>
          <w:rFonts w:ascii="Arial" w:hAnsi="Arial" w:eastAsia="等线" w:cs="Arial"/>
          <w:b/>
        </w:rPr>
        <w:t>深加工板块</w:t>
      </w:r>
      <w:r>
        <w:rPr>
          <w:rFonts w:ascii="Arial" w:hAnsi="Arial" w:eastAsia="等线" w:cs="Arial"/>
        </w:rPr>
        <w:t>：在新西伯利亚农业园区建设大豆压榨、玉米深加工、油脂精炼、饲料加工、食品加工生产线，年加工大豆1440万吨，产出豆粕1150万吨、豆油260万吨；年加工玉米2000万吨，产出玉米淀粉、果葡糖浆、酒精等深加工产品；配套年产能1000万吨配合饲料生产线，支撑畜牧养殖产业发展。</w:t>
      </w:r>
    </w:p>
    <w:p>
      <w:pPr>
        <w:numPr>
          <w:ilvl w:val="0"/>
          <w:numId w:val="65"/>
        </w:numPr>
        <w:spacing w:before="120" w:after="120" w:line="288" w:lineRule="auto"/>
        <w:rPr>
          <w:rFonts w:hint="eastAsia"/>
        </w:rPr>
      </w:pPr>
      <w:r>
        <w:rPr>
          <w:rFonts w:ascii="Arial" w:hAnsi="Arial" w:eastAsia="等线" w:cs="Arial"/>
          <w:b/>
        </w:rPr>
        <w:t>畜牧养殖与肉类加工板块</w:t>
      </w:r>
      <w:r>
        <w:rPr>
          <w:rFonts w:ascii="Arial" w:hAnsi="Arial" w:eastAsia="等线" w:cs="Arial"/>
        </w:rPr>
        <w:t>：在农业园区建设规模化生猪、肉牛养殖基地，配套屠宰、冷鲜肉、肉制品深加工生产线，年出栏生猪2000万头、肉牛800万头，实现养殖废弃物资源化利用率90%以上，形成“种植-饲料-养殖-加工”闭环。</w:t>
      </w:r>
    </w:p>
    <w:p>
      <w:pPr>
        <w:spacing w:before="260" w:after="120" w:line="288" w:lineRule="auto"/>
        <w:outlineLvl w:val="3"/>
        <w:rPr>
          <w:rFonts w:hint="eastAsia"/>
        </w:rPr>
      </w:pPr>
      <w:bookmarkStart w:id="38" w:name="heading_38"/>
      <w:r>
        <w:rPr>
          <w:rFonts w:ascii="Arial" w:hAnsi="Arial" w:eastAsia="等线" w:cs="Arial"/>
          <w:b/>
          <w:sz w:val="28"/>
        </w:rPr>
        <w:t>3. 跨境贸易体系</w:t>
      </w:r>
      <w:bookmarkEnd w:id="38"/>
    </w:p>
    <w:p>
      <w:pPr>
        <w:numPr>
          <w:ilvl w:val="0"/>
          <w:numId w:val="66"/>
        </w:numPr>
        <w:spacing w:before="120" w:after="120" w:line="288" w:lineRule="auto"/>
        <w:rPr>
          <w:rFonts w:hint="eastAsia"/>
        </w:rPr>
      </w:pPr>
      <w:r>
        <w:rPr>
          <w:rFonts w:ascii="Arial" w:hAnsi="Arial" w:eastAsia="等线" w:cs="Arial"/>
          <w:b/>
        </w:rPr>
        <w:t>贸易模式</w:t>
      </w:r>
      <w:r>
        <w:rPr>
          <w:rFonts w:ascii="Arial" w:hAnsi="Arial" w:eastAsia="等线" w:cs="Arial"/>
        </w:rPr>
        <w:t>：构建“产地采购+园区加工+多式联运+境内分销”全链条贸易体系，以长期协议锁定国内粮油加工、饲料养殖企业采购需求，实现粮食出口“以销定产、锁量锁价”，规避市场价格波动风险。</w:t>
      </w:r>
    </w:p>
    <w:p>
      <w:pPr>
        <w:numPr>
          <w:ilvl w:val="0"/>
          <w:numId w:val="67"/>
        </w:numPr>
        <w:spacing w:before="120" w:after="120" w:line="288" w:lineRule="auto"/>
        <w:rPr>
          <w:rFonts w:hint="eastAsia"/>
        </w:rPr>
      </w:pPr>
      <w:r>
        <w:rPr>
          <w:rFonts w:ascii="Arial" w:hAnsi="Arial" w:eastAsia="等线" w:cs="Arial"/>
          <w:b/>
        </w:rPr>
        <w:t>渠道布局</w:t>
      </w:r>
      <w:r>
        <w:rPr>
          <w:rFonts w:ascii="Arial" w:hAnsi="Arial" w:eastAsia="等线" w:cs="Arial"/>
        </w:rPr>
        <w:t>：国内渠道覆盖中粮、中储粮等大型粮食央企，以及益海嘉里、九三粮油等龙头加工企业，同步布局东北、华北、华东、华南四大分销中心；国际渠道拓展东南亚、韩国、日本、欧洲等市场，打造多元化销售网络。</w:t>
      </w:r>
    </w:p>
    <w:p>
      <w:pPr>
        <w:numPr>
          <w:ilvl w:val="0"/>
          <w:numId w:val="68"/>
        </w:numPr>
        <w:spacing w:before="120" w:after="120" w:line="288" w:lineRule="auto"/>
        <w:rPr>
          <w:rFonts w:hint="eastAsia"/>
        </w:rPr>
      </w:pPr>
      <w:r>
        <w:rPr>
          <w:rFonts w:ascii="Arial" w:hAnsi="Arial" w:eastAsia="等线" w:cs="Arial"/>
          <w:b/>
        </w:rPr>
        <w:t>品牌建设</w:t>
      </w:r>
      <w:r>
        <w:rPr>
          <w:rFonts w:ascii="Arial" w:hAnsi="Arial" w:eastAsia="等线" w:cs="Arial"/>
        </w:rPr>
        <w:t>：打造中俄跨境农业核心品牌，建立粮食全流程溯源体系，实现从种植到餐桌全程可追溯，提升产品品牌附加值与市场竞争力。</w:t>
      </w:r>
    </w:p>
    <w:p>
      <w:pPr>
        <w:numPr>
          <w:ilvl w:val="0"/>
          <w:numId w:val="69"/>
        </w:numPr>
        <w:spacing w:before="120" w:after="120" w:line="288" w:lineRule="auto"/>
        <w:rPr>
          <w:rFonts w:hint="eastAsia"/>
        </w:rPr>
      </w:pPr>
      <w:r>
        <w:rPr>
          <w:rFonts w:ascii="Arial" w:hAnsi="Arial" w:eastAsia="等线" w:cs="Arial"/>
          <w:b/>
        </w:rPr>
        <w:t>结算体系</w:t>
      </w:r>
      <w:r>
        <w:rPr>
          <w:rFonts w:ascii="Arial" w:hAnsi="Arial" w:eastAsia="等线" w:cs="Arial"/>
        </w:rPr>
        <w:t>：依托北京/上海全球服务中枢搭建境内集中结算平台，全交易流程采用人民币计价结算，实现“货物流、资金流、单据流”三流合一，规避汇率波动风险，保障资金安全。</w:t>
      </w:r>
    </w:p>
    <w:p>
      <w:pPr>
        <w:spacing w:before="300" w:after="120" w:line="288" w:lineRule="auto"/>
        <w:outlineLvl w:val="2"/>
        <w:rPr>
          <w:rFonts w:hint="eastAsia"/>
        </w:rPr>
      </w:pPr>
      <w:bookmarkStart w:id="39" w:name="heading_39"/>
      <w:r>
        <w:rPr>
          <w:rFonts w:ascii="Arial" w:hAnsi="Arial" w:eastAsia="等线" w:cs="Arial"/>
          <w:b/>
          <w:sz w:val="30"/>
        </w:rPr>
        <w:t>（二）配套产业链：装备-农资-能源-物流一体化体系</w:t>
      </w:r>
      <w:bookmarkEnd w:id="39"/>
    </w:p>
    <w:p>
      <w:pPr>
        <w:spacing w:before="260" w:after="120" w:line="288" w:lineRule="auto"/>
        <w:outlineLvl w:val="3"/>
        <w:rPr>
          <w:rFonts w:hint="eastAsia"/>
        </w:rPr>
      </w:pPr>
      <w:bookmarkStart w:id="40" w:name="heading_40"/>
      <w:r>
        <w:rPr>
          <w:rFonts w:ascii="Arial" w:hAnsi="Arial" w:eastAsia="等线" w:cs="Arial"/>
          <w:b/>
          <w:sz w:val="28"/>
        </w:rPr>
        <w:t>1. 农机装备制造体系</w:t>
      </w:r>
      <w:bookmarkEnd w:id="40"/>
    </w:p>
    <w:p>
      <w:pPr>
        <w:spacing w:before="120" w:after="120" w:line="288" w:lineRule="auto"/>
        <w:rPr>
          <w:rFonts w:hint="eastAsia"/>
        </w:rPr>
      </w:pPr>
      <w:r>
        <w:rPr>
          <w:rFonts w:ascii="Arial" w:hAnsi="Arial" w:eastAsia="等线" w:cs="Arial"/>
        </w:rPr>
        <w:t>依托马尔科沃工业园区，打造俄罗斯最大的农机装备制造基地，实现拖拉机、联合收割机、播种机、植保机械、粮食烘干设备全品类本土化生产，年产能满足耕地全程机械化种植需求，农机制造成本较进口降低35%以上。同步建设农机维修服务中心，在三大种植片区布局18个农机服务站，实现农机维修、配件供应、技术培训全覆盖。</w:t>
      </w:r>
    </w:p>
    <w:p>
      <w:pPr>
        <w:spacing w:before="260" w:after="120" w:line="288" w:lineRule="auto"/>
        <w:outlineLvl w:val="3"/>
        <w:rPr>
          <w:rFonts w:hint="eastAsia"/>
        </w:rPr>
      </w:pPr>
      <w:bookmarkStart w:id="41" w:name="heading_41"/>
      <w:r>
        <w:rPr>
          <w:rFonts w:ascii="Arial" w:hAnsi="Arial" w:eastAsia="等线" w:cs="Arial"/>
          <w:b/>
          <w:sz w:val="28"/>
        </w:rPr>
        <w:t>2. 农资化工生产体系</w:t>
      </w:r>
      <w:bookmarkEnd w:id="41"/>
    </w:p>
    <w:p>
      <w:pPr>
        <w:spacing w:before="120" w:after="120" w:line="288" w:lineRule="auto"/>
        <w:rPr>
          <w:rFonts w:hint="eastAsia"/>
        </w:rPr>
      </w:pPr>
      <w:r>
        <w:rPr>
          <w:rFonts w:ascii="Arial" w:hAnsi="Arial" w:eastAsia="等线" w:cs="Arial"/>
        </w:rPr>
        <w:t>依托萨里哈尔德北极能源化工园区，实现化肥、农药、种子全品类本土化生产，年产能尿素500万吨、磷肥300万吨、复合肥200万吨，农药制剂10万吨，满足耕地种植农资需求，化肥运输成本较跨境进口降低88.9%。同步在新西伯利亚农业园区建设良种繁育中心，培育适配俄罗斯气候土壤条件的大豆、玉米优质品种，实现良种本土化繁育供应。</w:t>
      </w:r>
    </w:p>
    <w:p>
      <w:pPr>
        <w:spacing w:before="260" w:after="120" w:line="288" w:lineRule="auto"/>
        <w:outlineLvl w:val="3"/>
        <w:rPr>
          <w:rFonts w:hint="eastAsia"/>
        </w:rPr>
      </w:pPr>
      <w:bookmarkStart w:id="42" w:name="heading_42"/>
      <w:r>
        <w:rPr>
          <w:rFonts w:ascii="Arial" w:hAnsi="Arial" w:eastAsia="等线" w:cs="Arial"/>
          <w:b/>
          <w:sz w:val="28"/>
        </w:rPr>
        <w:t>3. 能源配套体系</w:t>
      </w:r>
      <w:bookmarkEnd w:id="42"/>
    </w:p>
    <w:p>
      <w:pPr>
        <w:spacing w:before="120" w:after="120" w:line="288" w:lineRule="auto"/>
        <w:rPr>
          <w:rFonts w:hint="eastAsia"/>
        </w:rPr>
      </w:pPr>
      <w:r>
        <w:rPr>
          <w:rFonts w:ascii="Arial" w:hAnsi="Arial" w:eastAsia="等线" w:cs="Arial"/>
        </w:rPr>
        <w:t>在萨里哈尔德化工园区配套入园企业投资的天然气发电站，依托俄罗斯亚马尔地区低价天然气资源，年发电150亿千瓦时，实现园区用电成本降低15%，保障化工园区生产用电稳定供应。在三大园区、核心港口节点配套分布式光伏发电系统，推广清洁能源应用，降低园区碳排放强度。在种植片区配套柴油、润滑油供应站点，实现农机用油属地化保障。</w:t>
      </w:r>
    </w:p>
    <w:p>
      <w:pPr>
        <w:spacing w:before="260" w:after="120" w:line="288" w:lineRule="auto"/>
        <w:outlineLvl w:val="3"/>
        <w:rPr>
          <w:rFonts w:hint="eastAsia"/>
        </w:rPr>
      </w:pPr>
      <w:bookmarkStart w:id="43" w:name="heading_43"/>
      <w:r>
        <w:rPr>
          <w:rFonts w:ascii="Arial" w:hAnsi="Arial" w:eastAsia="等线" w:cs="Arial"/>
          <w:b/>
          <w:sz w:val="28"/>
        </w:rPr>
        <w:t>4. 物流航运体系</w:t>
      </w:r>
      <w:bookmarkEnd w:id="43"/>
    </w:p>
    <w:p>
      <w:pPr>
        <w:spacing w:before="120" w:after="120" w:line="288" w:lineRule="auto"/>
        <w:rPr>
          <w:rFonts w:hint="eastAsia"/>
        </w:rPr>
      </w:pPr>
      <w:r>
        <w:rPr>
          <w:rFonts w:ascii="Arial" w:hAnsi="Arial" w:eastAsia="等线" w:cs="Arial"/>
        </w:rPr>
        <w:t>按照“四大内河走廊+北方海航道+远东铁路”总体布局，建设全链路物流航运体系，具体规划如下：</w:t>
      </w:r>
    </w:p>
    <w:p>
      <w:pPr>
        <w:numPr>
          <w:ilvl w:val="0"/>
          <w:numId w:val="70"/>
        </w:numPr>
        <w:spacing w:before="120" w:after="120" w:line="288" w:lineRule="auto"/>
        <w:rPr>
          <w:rFonts w:hint="eastAsia"/>
        </w:rPr>
      </w:pPr>
      <w:r>
        <w:rPr>
          <w:rFonts w:ascii="Arial" w:hAnsi="Arial" w:eastAsia="等线" w:cs="Arial"/>
          <w:b/>
        </w:rPr>
        <w:t>内河航运网络</w:t>
      </w:r>
      <w:r>
        <w:rPr>
          <w:rFonts w:ascii="Arial" w:hAnsi="Arial" w:eastAsia="等线" w:cs="Arial"/>
        </w:rPr>
        <w:t>：整治鄂毕-额尔齐斯河、伏尔加河、叶尼塞河、阿穆尔河四大内河航道，建设18个内河粮食集散节点，配套标准化码头、粮仓、铁路专用线，实现产区粮食高效集并。</w:t>
      </w:r>
    </w:p>
    <w:p>
      <w:pPr>
        <w:numPr>
          <w:ilvl w:val="0"/>
          <w:numId w:val="71"/>
        </w:numPr>
        <w:spacing w:before="120" w:after="120" w:line="288" w:lineRule="auto"/>
        <w:rPr>
          <w:rFonts w:hint="eastAsia"/>
        </w:rPr>
      </w:pPr>
      <w:r>
        <w:rPr>
          <w:rFonts w:ascii="Arial" w:hAnsi="Arial" w:eastAsia="等线" w:cs="Arial"/>
          <w:b/>
        </w:rPr>
        <w:t>港口枢纽体系</w:t>
      </w:r>
      <w:r>
        <w:rPr>
          <w:rFonts w:ascii="Arial" w:hAnsi="Arial" w:eastAsia="等线" w:cs="Arial"/>
        </w:rPr>
        <w:t>：建设萨别塔、阿尔汉格尔斯克、伊加尔卡、杜金卡、哈巴罗夫斯克、抚远、符拉迪沃斯托克7大核心港口，配套粮食专用泊位、仓储装卸系统，实现河海联运无缝衔接。</w:t>
      </w:r>
    </w:p>
    <w:p>
      <w:pPr>
        <w:numPr>
          <w:ilvl w:val="0"/>
          <w:numId w:val="72"/>
        </w:numPr>
        <w:spacing w:before="120" w:after="120" w:line="288" w:lineRule="auto"/>
        <w:rPr>
          <w:rFonts w:hint="eastAsia"/>
        </w:rPr>
      </w:pPr>
      <w:r>
        <w:rPr>
          <w:rFonts w:ascii="Arial" w:hAnsi="Arial" w:eastAsia="等线" w:cs="Arial"/>
          <w:b/>
        </w:rPr>
        <w:t>船队配置体系</w:t>
      </w:r>
      <w:r>
        <w:rPr>
          <w:rFonts w:ascii="Arial" w:hAnsi="Arial" w:eastAsia="等线" w:cs="Arial"/>
        </w:rPr>
        <w:t>：规划期末建成内河驳船队155-195艘、顶推拖轮船队55-68艘、河海两用船队50-78艘、北极冰区散货船队58-74艘、普通海运船队10-14艘，总投资49-74亿美元，满足2700万吨/年粮食运输需求。</w:t>
      </w:r>
    </w:p>
    <w:p>
      <w:pPr>
        <w:numPr>
          <w:ilvl w:val="0"/>
          <w:numId w:val="73"/>
        </w:numPr>
        <w:spacing w:before="120" w:after="120" w:line="288" w:lineRule="auto"/>
        <w:rPr>
          <w:rFonts w:hint="eastAsia"/>
        </w:rPr>
      </w:pPr>
      <w:r>
        <w:rPr>
          <w:rFonts w:ascii="Arial" w:hAnsi="Arial" w:eastAsia="等线" w:cs="Arial"/>
          <w:b/>
        </w:rPr>
        <w:t>多式联运体系</w:t>
      </w:r>
      <w:r>
        <w:rPr>
          <w:rFonts w:ascii="Arial" w:hAnsi="Arial" w:eastAsia="等线" w:cs="Arial"/>
        </w:rPr>
        <w:t>：构建“内河+海运+铁路+公路”多式联运网络，四大走廊全部配套铁路支线接入，实现内河通航期优先水运、冬季封冻期铁路兜底，保障全年运力均衡稳定。</w:t>
      </w:r>
    </w:p>
    <w:p>
      <w:pPr>
        <w:numPr>
          <w:ilvl w:val="0"/>
          <w:numId w:val="74"/>
        </w:numPr>
        <w:spacing w:before="120" w:after="120" w:line="288" w:lineRule="auto"/>
        <w:rPr>
          <w:rFonts w:hint="eastAsia"/>
        </w:rPr>
      </w:pPr>
      <w:r>
        <w:rPr>
          <w:rFonts w:ascii="Arial" w:hAnsi="Arial" w:eastAsia="等线" w:cs="Arial"/>
          <w:b/>
        </w:rPr>
        <w:t>智能调度体系</w:t>
      </w:r>
      <w:r>
        <w:rPr>
          <w:rFonts w:ascii="Arial" w:hAnsi="Arial" w:eastAsia="等线" w:cs="Arial"/>
        </w:rPr>
        <w:t>：建设四大走廊统一的智能化航运调度平台，整合航道水文、冰情、船舶动态、粮流信息、港口作业数据，实现全链路可视化、智能化运营。</w:t>
      </w:r>
    </w:p>
    <w:p>
      <w:pPr>
        <w:spacing w:before="300" w:after="120" w:line="288" w:lineRule="auto"/>
        <w:outlineLvl w:val="2"/>
        <w:rPr>
          <w:rFonts w:hint="eastAsia"/>
        </w:rPr>
      </w:pPr>
      <w:bookmarkStart w:id="44" w:name="heading_44"/>
      <w:r>
        <w:rPr>
          <w:rFonts w:ascii="Arial" w:hAnsi="Arial" w:eastAsia="等线" w:cs="Arial"/>
          <w:b/>
          <w:sz w:val="30"/>
        </w:rPr>
        <w:t>（三）服务支撑链：技术-金融-数字-合规一体化体系</w:t>
      </w:r>
      <w:bookmarkEnd w:id="44"/>
    </w:p>
    <w:p>
      <w:pPr>
        <w:spacing w:before="260" w:after="120" w:line="288" w:lineRule="auto"/>
        <w:outlineLvl w:val="3"/>
        <w:rPr>
          <w:rFonts w:hint="eastAsia"/>
        </w:rPr>
      </w:pPr>
      <w:bookmarkStart w:id="45" w:name="heading_45"/>
      <w:r>
        <w:rPr>
          <w:rFonts w:ascii="Arial" w:hAnsi="Arial" w:eastAsia="等线" w:cs="Arial"/>
          <w:b/>
          <w:sz w:val="28"/>
        </w:rPr>
        <w:t>1. 技术研发服务体系</w:t>
      </w:r>
      <w:bookmarkEnd w:id="45"/>
    </w:p>
    <w:p>
      <w:pPr>
        <w:spacing w:before="120" w:after="120" w:line="288" w:lineRule="auto"/>
        <w:rPr>
          <w:rFonts w:hint="eastAsia"/>
        </w:rPr>
      </w:pPr>
      <w:r>
        <w:rPr>
          <w:rFonts w:ascii="Arial" w:hAnsi="Arial" w:eastAsia="等线" w:cs="Arial"/>
        </w:rPr>
        <w:t>搭建中俄跨境农业技术研发平台，与中国农科院、俄罗斯农业科学院、中国铁道科学研究院等科研院所合作，建立海外研发工作站，开展优质品种繁育、生态种植技术、农机装备研发、绿色化工技术、智能航运技术等本土化研发，推动中国农业技术与标准出海，实现技术成果本土化转化应用。</w:t>
      </w:r>
    </w:p>
    <w:p>
      <w:pPr>
        <w:spacing w:before="260" w:after="120" w:line="288" w:lineRule="auto"/>
        <w:outlineLvl w:val="3"/>
        <w:rPr>
          <w:rFonts w:hint="eastAsia"/>
        </w:rPr>
      </w:pPr>
      <w:bookmarkStart w:id="46" w:name="heading_46"/>
      <w:r>
        <w:rPr>
          <w:rFonts w:ascii="Arial" w:hAnsi="Arial" w:eastAsia="等线" w:cs="Arial"/>
          <w:b/>
          <w:sz w:val="28"/>
        </w:rPr>
        <w:t>2. 金融保险服务体系</w:t>
      </w:r>
      <w:bookmarkEnd w:id="46"/>
    </w:p>
    <w:p>
      <w:pPr>
        <w:spacing w:before="120" w:after="120" w:line="288" w:lineRule="auto"/>
        <w:rPr>
          <w:rFonts w:hint="eastAsia"/>
        </w:rPr>
      </w:pPr>
      <w:r>
        <w:rPr>
          <w:rFonts w:ascii="Arial" w:hAnsi="Arial" w:eastAsia="等线" w:cs="Arial"/>
        </w:rPr>
        <w:t>构建“政策性银行+商业银行+产业基金+专属保险”多元化金融服务体系，对接国家开发银行、进出口银行争取跨境农业专项贷款，发起设立中俄跨境农业产业基金，规模不低于80亿元，为入园企业提供创业投资、流动资金贷款、供应链金融服务。牵头成立中俄跨境农业专属保险公司，推出覆盖自然灾害、疫病、市场波动、跨境运输、安全生产的全领域保险产品，实现全产业链风险保险全覆盖。</w:t>
      </w:r>
    </w:p>
    <w:p>
      <w:pPr>
        <w:spacing w:before="260" w:after="120" w:line="288" w:lineRule="auto"/>
        <w:outlineLvl w:val="3"/>
        <w:rPr>
          <w:rFonts w:hint="eastAsia"/>
        </w:rPr>
      </w:pPr>
      <w:bookmarkStart w:id="47" w:name="heading_47"/>
      <w:r>
        <w:rPr>
          <w:rFonts w:ascii="Arial" w:hAnsi="Arial" w:eastAsia="等线" w:cs="Arial"/>
          <w:b/>
          <w:sz w:val="28"/>
        </w:rPr>
        <w:t>3. 数字智能服务体系</w:t>
      </w:r>
      <w:bookmarkEnd w:id="47"/>
    </w:p>
    <w:p>
      <w:pPr>
        <w:spacing w:before="120" w:after="120" w:line="288" w:lineRule="auto"/>
        <w:rPr>
          <w:rFonts w:hint="eastAsia"/>
        </w:rPr>
      </w:pPr>
      <w:r>
        <w:rPr>
          <w:rFonts w:ascii="Arial" w:hAnsi="Arial" w:eastAsia="等线" w:cs="Arial"/>
        </w:rPr>
        <w:t>打造全产业链数字化智能化管控平台，构建四大核心数字化体系：</w:t>
      </w:r>
    </w:p>
    <w:p>
      <w:pPr>
        <w:numPr>
          <w:ilvl w:val="0"/>
          <w:numId w:val="75"/>
        </w:numPr>
        <w:spacing w:before="120" w:after="120" w:line="288" w:lineRule="auto"/>
        <w:rPr>
          <w:rFonts w:hint="eastAsia"/>
        </w:rPr>
      </w:pPr>
      <w:r>
        <w:rPr>
          <w:rFonts w:ascii="Arial" w:hAnsi="Arial" w:eastAsia="等线" w:cs="Arial"/>
          <w:b/>
        </w:rPr>
        <w:t>种植数字化体系</w:t>
      </w:r>
      <w:r>
        <w:rPr>
          <w:rFonts w:ascii="Arial" w:hAnsi="Arial" w:eastAsia="等线" w:cs="Arial"/>
        </w:rPr>
        <w:t>：部署物联网设备实现种植环境精准感知，搭建种植大数据平台，实现精准种植、产量预估、病虫害预警。</w:t>
      </w:r>
    </w:p>
    <w:p>
      <w:pPr>
        <w:numPr>
          <w:ilvl w:val="0"/>
          <w:numId w:val="76"/>
        </w:numPr>
        <w:spacing w:before="120" w:after="120" w:line="288" w:lineRule="auto"/>
        <w:rPr>
          <w:rFonts w:hint="eastAsia"/>
        </w:rPr>
      </w:pPr>
      <w:r>
        <w:rPr>
          <w:rFonts w:ascii="Arial" w:hAnsi="Arial" w:eastAsia="等线" w:cs="Arial"/>
          <w:b/>
        </w:rPr>
        <w:t>加工制造智能化体系</w:t>
      </w:r>
      <w:r>
        <w:rPr>
          <w:rFonts w:ascii="Arial" w:hAnsi="Arial" w:eastAsia="等线" w:cs="Arial"/>
        </w:rPr>
        <w:t>：在园区部署工业物联网，搭建生产管理平台，实现生产过程智能化管控与产品全流程溯源。</w:t>
      </w:r>
    </w:p>
    <w:p>
      <w:pPr>
        <w:numPr>
          <w:ilvl w:val="0"/>
          <w:numId w:val="77"/>
        </w:numPr>
        <w:spacing w:before="120" w:after="120" w:line="288" w:lineRule="auto"/>
        <w:rPr>
          <w:rFonts w:hint="eastAsia"/>
        </w:rPr>
      </w:pPr>
      <w:r>
        <w:rPr>
          <w:rFonts w:ascii="Arial" w:hAnsi="Arial" w:eastAsia="等线" w:cs="Arial"/>
          <w:b/>
        </w:rPr>
        <w:t>物流航运智能化体系</w:t>
      </w:r>
      <w:r>
        <w:rPr>
          <w:rFonts w:ascii="Arial" w:hAnsi="Arial" w:eastAsia="等线" w:cs="Arial"/>
        </w:rPr>
        <w:t>：搭建智能物流与航运调度平台，实现物流资源智能调度、跨境通关线上化、货物运输全程可视化。</w:t>
      </w:r>
    </w:p>
    <w:p>
      <w:pPr>
        <w:numPr>
          <w:ilvl w:val="0"/>
          <w:numId w:val="78"/>
        </w:numPr>
        <w:spacing w:before="120" w:after="120" w:line="288" w:lineRule="auto"/>
        <w:rPr>
          <w:rFonts w:hint="eastAsia"/>
        </w:rPr>
      </w:pPr>
      <w:r>
        <w:rPr>
          <w:rFonts w:ascii="Arial" w:hAnsi="Arial" w:eastAsia="等线" w:cs="Arial"/>
          <w:b/>
        </w:rPr>
        <w:t>园区运营智能化体系</w:t>
      </w:r>
      <w:r>
        <w:rPr>
          <w:rFonts w:ascii="Arial" w:hAnsi="Arial" w:eastAsia="等线" w:cs="Arial"/>
        </w:rPr>
        <w:t>：搭建园区智能运营管理平台，实现园区规划、建设、运营全流程智能化管控，为入园企业提供一站式数字化服务。</w:t>
      </w:r>
    </w:p>
    <w:p>
      <w:pPr>
        <w:spacing w:before="260" w:after="120" w:line="288" w:lineRule="auto"/>
        <w:outlineLvl w:val="3"/>
        <w:rPr>
          <w:rFonts w:hint="eastAsia"/>
        </w:rPr>
      </w:pPr>
      <w:bookmarkStart w:id="48" w:name="heading_48"/>
      <w:r>
        <w:rPr>
          <w:rFonts w:ascii="Arial" w:hAnsi="Arial" w:eastAsia="等线" w:cs="Arial"/>
          <w:b/>
          <w:sz w:val="28"/>
        </w:rPr>
        <w:t>4. 合规风控服务体系</w:t>
      </w:r>
      <w:bookmarkEnd w:id="48"/>
    </w:p>
    <w:p>
      <w:pPr>
        <w:spacing w:before="120" w:after="120" w:line="288" w:lineRule="auto"/>
        <w:rPr>
          <w:rFonts w:hint="eastAsia"/>
        </w:rPr>
      </w:pPr>
      <w:r>
        <w:rPr>
          <w:rFonts w:ascii="Arial" w:hAnsi="Arial" w:eastAsia="等线" w:cs="Arial"/>
        </w:rPr>
        <w:t>建立中俄联合合规管理团队，为入园企业提供俄罗斯投资、税收、劳工、环保、海关等全流程合规咨询服务，搭建跨境法律纠纷调解机制，保障企业合法权益。建立全流程风险防控体系，对政策、市场、运营、物流、安全环保等风险进行实时监测、预警与处置，保障项目全周期稳定运营。</w:t>
      </w:r>
    </w:p>
    <w:p>
      <w:pPr>
        <w:spacing w:before="320" w:after="120" w:line="288" w:lineRule="auto"/>
        <w:outlineLvl w:val="1"/>
        <w:rPr>
          <w:rFonts w:hint="eastAsia"/>
        </w:rPr>
      </w:pPr>
      <w:bookmarkStart w:id="49" w:name="heading_49"/>
      <w:r>
        <w:rPr>
          <w:rFonts w:ascii="Arial" w:hAnsi="Arial" w:eastAsia="等线" w:cs="Arial"/>
          <w:b/>
          <w:sz w:val="32"/>
        </w:rPr>
        <w:t>六、生态环保与绿色发展规划</w:t>
      </w:r>
      <w:bookmarkEnd w:id="49"/>
    </w:p>
    <w:p>
      <w:pPr>
        <w:spacing w:before="300" w:after="120" w:line="288" w:lineRule="auto"/>
        <w:outlineLvl w:val="2"/>
        <w:rPr>
          <w:rFonts w:hint="eastAsia"/>
        </w:rPr>
      </w:pPr>
      <w:bookmarkStart w:id="50" w:name="heading_50"/>
      <w:r>
        <w:rPr>
          <w:rFonts w:ascii="Arial" w:hAnsi="Arial" w:eastAsia="等线" w:cs="Arial"/>
          <w:b/>
          <w:sz w:val="30"/>
        </w:rPr>
        <w:t>（一）规划原则</w:t>
      </w:r>
      <w:bookmarkEnd w:id="50"/>
    </w:p>
    <w:p>
      <w:pPr>
        <w:spacing w:before="120" w:after="120" w:line="288" w:lineRule="auto"/>
        <w:rPr>
          <w:rFonts w:hint="eastAsia"/>
        </w:rPr>
      </w:pPr>
      <w:r>
        <w:rPr>
          <w:rFonts w:ascii="Arial" w:hAnsi="Arial" w:eastAsia="等线" w:cs="Arial"/>
        </w:rPr>
        <w:t>严格遵循《俄罗斯联邦环境保护法》《北极地区环境保护法》《中俄跨境环境保护双边协定》，坚持“生态优先、绿色发展、低碳循环、属地适配”原则，将绿色发展理念贯穿项目全生命周期，实现产业发展与生态保护协同可持续，打造全球跨境绿色农业发展典范。</w:t>
      </w:r>
    </w:p>
    <w:p>
      <w:pPr>
        <w:spacing w:before="300" w:after="120" w:line="288" w:lineRule="auto"/>
        <w:outlineLvl w:val="2"/>
        <w:rPr>
          <w:rFonts w:hint="eastAsia"/>
        </w:rPr>
      </w:pPr>
      <w:bookmarkStart w:id="51" w:name="heading_51"/>
      <w:r>
        <w:rPr>
          <w:rFonts w:ascii="Arial" w:hAnsi="Arial" w:eastAsia="等线" w:cs="Arial"/>
          <w:b/>
          <w:sz w:val="30"/>
        </w:rPr>
        <w:t>（二）绿色生产体系建设</w:t>
      </w:r>
      <w:bookmarkEnd w:id="51"/>
    </w:p>
    <w:p>
      <w:pPr>
        <w:spacing w:before="260" w:after="120" w:line="288" w:lineRule="auto"/>
        <w:outlineLvl w:val="3"/>
        <w:rPr>
          <w:rFonts w:hint="eastAsia"/>
        </w:rPr>
      </w:pPr>
      <w:bookmarkStart w:id="52" w:name="heading_52"/>
      <w:r>
        <w:rPr>
          <w:rFonts w:ascii="Arial" w:hAnsi="Arial" w:eastAsia="等线" w:cs="Arial"/>
          <w:b/>
          <w:sz w:val="28"/>
        </w:rPr>
        <w:t>1. 生态种植体系</w:t>
      </w:r>
      <w:bookmarkEnd w:id="52"/>
    </w:p>
    <w:p>
      <w:pPr>
        <w:numPr>
          <w:ilvl w:val="0"/>
          <w:numId w:val="79"/>
        </w:numPr>
        <w:spacing w:before="120" w:after="120" w:line="288" w:lineRule="auto"/>
        <w:rPr>
          <w:rFonts w:hint="eastAsia"/>
        </w:rPr>
      </w:pPr>
      <w:r>
        <w:rPr>
          <w:rFonts w:ascii="Arial" w:hAnsi="Arial" w:eastAsia="等线" w:cs="Arial"/>
        </w:rPr>
        <w:t>推广测土配方施肥、有机肥替代、秸秆还田技术，实现化肥农药减量30%以上，减少农业面源污染；</w:t>
      </w:r>
    </w:p>
    <w:p>
      <w:pPr>
        <w:numPr>
          <w:ilvl w:val="0"/>
          <w:numId w:val="80"/>
        </w:numPr>
        <w:spacing w:before="120" w:after="120" w:line="288" w:lineRule="auto"/>
        <w:rPr>
          <w:rFonts w:hint="eastAsia"/>
        </w:rPr>
      </w:pPr>
      <w:r>
        <w:rPr>
          <w:rFonts w:ascii="Arial" w:hAnsi="Arial" w:eastAsia="等线" w:cs="Arial"/>
        </w:rPr>
        <w:t>推广大豆-玉米轮作、免耕少耕等保护性耕作技术，保护俄罗斯黑土地资源，提升土壤有机质含量；</w:t>
      </w:r>
    </w:p>
    <w:p>
      <w:pPr>
        <w:numPr>
          <w:ilvl w:val="0"/>
          <w:numId w:val="81"/>
        </w:numPr>
        <w:spacing w:before="120" w:after="120" w:line="288" w:lineRule="auto"/>
        <w:rPr>
          <w:rFonts w:hint="eastAsia"/>
        </w:rPr>
      </w:pPr>
      <w:r>
        <w:rPr>
          <w:rFonts w:ascii="Arial" w:hAnsi="Arial" w:eastAsia="等线" w:cs="Arial"/>
        </w:rPr>
        <w:t>推广节水灌溉技术，建设滴灌、喷灌系统，农业灌溉水利用率提升至90%以上；</w:t>
      </w:r>
    </w:p>
    <w:p>
      <w:pPr>
        <w:numPr>
          <w:ilvl w:val="0"/>
          <w:numId w:val="82"/>
        </w:numPr>
        <w:spacing w:before="120" w:after="120" w:line="288" w:lineRule="auto"/>
        <w:rPr>
          <w:rFonts w:hint="eastAsia"/>
        </w:rPr>
      </w:pPr>
      <w:r>
        <w:rPr>
          <w:rFonts w:ascii="Arial" w:hAnsi="Arial" w:eastAsia="等线" w:cs="Arial"/>
        </w:rPr>
        <w:t>建设生态廊道，每10万亩种植基地划定1条宽度不低于50米的生态廊道，保护区域生物多样性。</w:t>
      </w:r>
    </w:p>
    <w:p>
      <w:pPr>
        <w:spacing w:before="260" w:after="120" w:line="288" w:lineRule="auto"/>
        <w:outlineLvl w:val="3"/>
        <w:rPr>
          <w:rFonts w:hint="eastAsia"/>
        </w:rPr>
      </w:pPr>
      <w:bookmarkStart w:id="53" w:name="heading_53"/>
      <w:r>
        <w:rPr>
          <w:rFonts w:ascii="Arial" w:hAnsi="Arial" w:eastAsia="等线" w:cs="Arial"/>
          <w:b/>
          <w:sz w:val="28"/>
        </w:rPr>
        <w:t>2. 绿色加工制造体系</w:t>
      </w:r>
      <w:bookmarkEnd w:id="53"/>
    </w:p>
    <w:p>
      <w:pPr>
        <w:numPr>
          <w:ilvl w:val="0"/>
          <w:numId w:val="83"/>
        </w:numPr>
        <w:spacing w:before="120" w:after="120" w:line="288" w:lineRule="auto"/>
        <w:rPr>
          <w:rFonts w:hint="eastAsia"/>
        </w:rPr>
      </w:pPr>
      <w:r>
        <w:rPr>
          <w:rFonts w:ascii="Arial" w:hAnsi="Arial" w:eastAsia="等线" w:cs="Arial"/>
        </w:rPr>
        <w:t>推广绿色加工、低碳制造技术，采用节能型生产设备，单位产值能耗降低40%以上；</w:t>
      </w:r>
    </w:p>
    <w:p>
      <w:pPr>
        <w:numPr>
          <w:ilvl w:val="0"/>
          <w:numId w:val="84"/>
        </w:numPr>
        <w:spacing w:before="120" w:after="120" w:line="288" w:lineRule="auto"/>
        <w:rPr>
          <w:rFonts w:hint="eastAsia"/>
        </w:rPr>
      </w:pPr>
      <w:r>
        <w:rPr>
          <w:rFonts w:ascii="Arial" w:hAnsi="Arial" w:eastAsia="等线" w:cs="Arial"/>
        </w:rPr>
        <w:t>园区建设污水处理厂、废气处理设施，实现生产废水、废气达标排放，工业固废资源化利用率达90%以上；</w:t>
      </w:r>
    </w:p>
    <w:p>
      <w:pPr>
        <w:numPr>
          <w:ilvl w:val="0"/>
          <w:numId w:val="85"/>
        </w:numPr>
        <w:spacing w:before="120" w:after="120" w:line="288" w:lineRule="auto"/>
        <w:rPr>
          <w:rFonts w:hint="eastAsia"/>
        </w:rPr>
      </w:pPr>
      <w:r>
        <w:rPr>
          <w:rFonts w:ascii="Arial" w:hAnsi="Arial" w:eastAsia="等线" w:cs="Arial"/>
        </w:rPr>
        <w:t>化工园区采用先进的清洁生产技术，建设专用化工污水处理厂，实现废水近零排放，排放指标严于行业标准；</w:t>
      </w:r>
    </w:p>
    <w:p>
      <w:pPr>
        <w:numPr>
          <w:ilvl w:val="0"/>
          <w:numId w:val="86"/>
        </w:numPr>
        <w:spacing w:before="120" w:after="120" w:line="288" w:lineRule="auto"/>
        <w:rPr>
          <w:rFonts w:hint="eastAsia"/>
        </w:rPr>
      </w:pPr>
      <w:r>
        <w:rPr>
          <w:rFonts w:ascii="Arial" w:hAnsi="Arial" w:eastAsia="等线" w:cs="Arial"/>
        </w:rPr>
        <w:t>推广绿色建筑，园区厂房、办公建筑节能率达65%以上，配套分布式光伏发电系统，降低建筑能耗。</w:t>
      </w:r>
    </w:p>
    <w:p>
      <w:pPr>
        <w:spacing w:before="260" w:after="120" w:line="288" w:lineRule="auto"/>
        <w:outlineLvl w:val="3"/>
        <w:rPr>
          <w:rFonts w:hint="eastAsia"/>
        </w:rPr>
      </w:pPr>
      <w:bookmarkStart w:id="54" w:name="heading_54"/>
      <w:r>
        <w:rPr>
          <w:rFonts w:ascii="Arial" w:hAnsi="Arial" w:eastAsia="等线" w:cs="Arial"/>
          <w:b/>
          <w:sz w:val="28"/>
        </w:rPr>
        <w:t>3. 低碳航运物流体系</w:t>
      </w:r>
      <w:bookmarkEnd w:id="54"/>
    </w:p>
    <w:p>
      <w:pPr>
        <w:numPr>
          <w:ilvl w:val="0"/>
          <w:numId w:val="87"/>
        </w:numPr>
        <w:spacing w:before="120" w:after="120" w:line="288" w:lineRule="auto"/>
        <w:rPr>
          <w:rFonts w:hint="eastAsia"/>
        </w:rPr>
      </w:pPr>
      <w:r>
        <w:rPr>
          <w:rFonts w:ascii="Arial" w:hAnsi="Arial" w:eastAsia="等线" w:cs="Arial"/>
        </w:rPr>
        <w:t>采用节能型船型设计，优化船舶主机与推进系统，降低船舶燃油消耗，单位货物运输碳排放较铁路模式降低30%以上；</w:t>
      </w:r>
    </w:p>
    <w:p>
      <w:pPr>
        <w:numPr>
          <w:ilvl w:val="0"/>
          <w:numId w:val="88"/>
        </w:numPr>
        <w:spacing w:before="120" w:after="120" w:line="288" w:lineRule="auto"/>
        <w:rPr>
          <w:rFonts w:hint="eastAsia"/>
        </w:rPr>
      </w:pPr>
      <w:r>
        <w:rPr>
          <w:rFonts w:ascii="Arial" w:hAnsi="Arial" w:eastAsia="等线" w:cs="Arial"/>
        </w:rPr>
        <w:t>逐步推广LNG动力、生物燃料动力船舶，降低船舶尾气排放，采用低硫燃油，符合国际海事组织环保标准；</w:t>
      </w:r>
    </w:p>
    <w:p>
      <w:pPr>
        <w:numPr>
          <w:ilvl w:val="0"/>
          <w:numId w:val="89"/>
        </w:numPr>
        <w:spacing w:before="120" w:after="120" w:line="288" w:lineRule="auto"/>
        <w:rPr>
          <w:rFonts w:hint="eastAsia"/>
        </w:rPr>
      </w:pPr>
      <w:r>
        <w:rPr>
          <w:rFonts w:ascii="Arial" w:hAnsi="Arial" w:eastAsia="等线" w:cs="Arial"/>
        </w:rPr>
        <w:t>优化船舶航线与调度，减少空驶里程，提升船舶装载率，降低无效能耗；</w:t>
      </w:r>
    </w:p>
    <w:p>
      <w:pPr>
        <w:numPr>
          <w:ilvl w:val="0"/>
          <w:numId w:val="90"/>
        </w:numPr>
        <w:spacing w:before="120" w:after="120" w:line="288" w:lineRule="auto"/>
        <w:rPr>
          <w:rFonts w:hint="eastAsia"/>
        </w:rPr>
      </w:pPr>
      <w:r>
        <w:rPr>
          <w:rFonts w:ascii="Arial" w:hAnsi="Arial" w:eastAsia="等线" w:cs="Arial"/>
        </w:rPr>
        <w:t>航道疏浚采用环保疏浚工艺，减少对水生生态的影响，北极航段严格遵循船舶限速、禁航规定，保护北极海洋生态系统。</w:t>
      </w:r>
    </w:p>
    <w:p>
      <w:pPr>
        <w:spacing w:before="300" w:after="120" w:line="288" w:lineRule="auto"/>
        <w:outlineLvl w:val="2"/>
        <w:rPr>
          <w:rFonts w:hint="eastAsia"/>
        </w:rPr>
      </w:pPr>
      <w:bookmarkStart w:id="55" w:name="heading_55"/>
      <w:r>
        <w:rPr>
          <w:rFonts w:ascii="Arial" w:hAnsi="Arial" w:eastAsia="等线" w:cs="Arial"/>
          <w:b/>
          <w:sz w:val="30"/>
        </w:rPr>
        <w:t>（三）生态环境保护体系</w:t>
      </w:r>
      <w:bookmarkEnd w:id="55"/>
    </w:p>
    <w:p>
      <w:pPr>
        <w:numPr>
          <w:ilvl w:val="0"/>
          <w:numId w:val="91"/>
        </w:numPr>
        <w:spacing w:before="120" w:after="120" w:line="288" w:lineRule="auto"/>
        <w:rPr>
          <w:rFonts w:hint="eastAsia"/>
        </w:rPr>
      </w:pPr>
      <w:r>
        <w:rPr>
          <w:rFonts w:ascii="Arial" w:hAnsi="Arial" w:eastAsia="等线" w:cs="Arial"/>
          <w:b/>
        </w:rPr>
        <w:t>生态隔离与防护体系</w:t>
      </w:r>
      <w:r>
        <w:rPr>
          <w:rFonts w:ascii="Arial" w:hAnsi="Arial" w:eastAsia="等线" w:cs="Arial"/>
        </w:rPr>
        <w:t>：三大园区周边建设生态隔离带，农业/工业园区隔离带宽度不低于50米，化工园区不低于80米，种植俄罗斯本土抗寒、防风、吸附污染物的植物，形成生态缓冲带；河流沿岸建设生态护岸，保护河流生态环境。</w:t>
      </w:r>
    </w:p>
    <w:p>
      <w:pPr>
        <w:numPr>
          <w:ilvl w:val="0"/>
          <w:numId w:val="92"/>
        </w:numPr>
        <w:spacing w:before="120" w:after="120" w:line="288" w:lineRule="auto"/>
        <w:rPr>
          <w:rFonts w:hint="eastAsia"/>
        </w:rPr>
      </w:pPr>
      <w:r>
        <w:rPr>
          <w:rFonts w:ascii="Arial" w:hAnsi="Arial" w:eastAsia="等线" w:cs="Arial"/>
          <w:b/>
        </w:rPr>
        <w:t>环境监测体系</w:t>
      </w:r>
      <w:r>
        <w:rPr>
          <w:rFonts w:ascii="Arial" w:hAnsi="Arial" w:eastAsia="等线" w:cs="Arial"/>
        </w:rPr>
        <w:t>：在种植基地、园区、航道、港口核心节点布局空气、水质、土壤监测点，搭建项目统一环保监测平台，实时监测环境指标，与中俄环保部门数据联网，确保监测数据真实可追溯。</w:t>
      </w:r>
    </w:p>
    <w:p>
      <w:pPr>
        <w:numPr>
          <w:ilvl w:val="0"/>
          <w:numId w:val="93"/>
        </w:numPr>
        <w:spacing w:before="120" w:after="120" w:line="288" w:lineRule="auto"/>
        <w:rPr>
          <w:rFonts w:hint="eastAsia"/>
        </w:rPr>
      </w:pPr>
      <w:r>
        <w:rPr>
          <w:rFonts w:ascii="Arial" w:hAnsi="Arial" w:eastAsia="等线" w:cs="Arial"/>
          <w:b/>
        </w:rPr>
        <w:t>环境应急体系</w:t>
      </w:r>
      <w:r>
        <w:rPr>
          <w:rFonts w:ascii="Arial" w:hAnsi="Arial" w:eastAsia="等线" w:cs="Arial"/>
        </w:rPr>
        <w:t>：化工园区建设容积不低于8000立方米的应急事故池，农业/工业园区建设不低于5000立方米的应急事故池，配备应急监测、堵漏、吸附设备；北极航段、核心港口配备溢油应急设备，制定专项环境应急预案，与俄罗斯当地环保、应急部门建立联动机制，每年开展不少于2次联合应急演练。</w:t>
      </w:r>
    </w:p>
    <w:p>
      <w:pPr>
        <w:numPr>
          <w:ilvl w:val="0"/>
          <w:numId w:val="94"/>
        </w:numPr>
        <w:spacing w:before="120" w:after="120" w:line="288" w:lineRule="auto"/>
        <w:rPr>
          <w:rFonts w:hint="eastAsia"/>
        </w:rPr>
      </w:pPr>
      <w:r>
        <w:rPr>
          <w:rFonts w:ascii="Arial" w:hAnsi="Arial" w:eastAsia="等线" w:cs="Arial"/>
          <w:b/>
        </w:rPr>
        <w:t>生物多样性保护体系</w:t>
      </w:r>
      <w:r>
        <w:rPr>
          <w:rFonts w:ascii="Arial" w:hAnsi="Arial" w:eastAsia="等线" w:cs="Arial"/>
        </w:rPr>
        <w:t>：严格避让俄罗斯生态敏感区、自然保护区、鱼类洄游通道，航道疏浚、港口建设作业避开鱼类洄游期与野生动物繁殖期；种植基地采用绿色病虫害防控技术，减少对非靶标生物的影响，维护区域生态平衡。</w:t>
      </w:r>
    </w:p>
    <w:p>
      <w:pPr>
        <w:spacing w:before="300" w:after="120" w:line="288" w:lineRule="auto"/>
        <w:outlineLvl w:val="2"/>
        <w:rPr>
          <w:rFonts w:hint="eastAsia"/>
        </w:rPr>
      </w:pPr>
      <w:bookmarkStart w:id="56" w:name="heading_56"/>
      <w:r>
        <w:rPr>
          <w:rFonts w:ascii="Arial" w:hAnsi="Arial" w:eastAsia="等线" w:cs="Arial"/>
          <w:b/>
          <w:sz w:val="30"/>
        </w:rPr>
        <w:t>（四）绿色发展目标</w:t>
      </w:r>
      <w:bookmarkEnd w:id="56"/>
    </w:p>
    <w:p>
      <w:pPr>
        <w:spacing w:before="120" w:after="120" w:line="288" w:lineRule="auto"/>
        <w:rPr>
          <w:rFonts w:hint="eastAsia"/>
        </w:rPr>
      </w:pPr>
      <w:r>
        <w:rPr>
          <w:rFonts w:ascii="Arial" w:hAnsi="Arial" w:eastAsia="等线" w:cs="Arial"/>
        </w:rPr>
        <w:t>规划期末，实现以下绿色发展核心目标：</w:t>
      </w:r>
    </w:p>
    <w:p>
      <w:pPr>
        <w:numPr>
          <w:ilvl w:val="0"/>
          <w:numId w:val="95"/>
        </w:numPr>
        <w:spacing w:before="120" w:after="120" w:line="288" w:lineRule="auto"/>
        <w:rPr>
          <w:rFonts w:hint="eastAsia"/>
        </w:rPr>
      </w:pPr>
      <w:r>
        <w:rPr>
          <w:rFonts w:ascii="Arial" w:hAnsi="Arial" w:eastAsia="等线" w:cs="Arial"/>
        </w:rPr>
        <w:t>种植环节化肥农药减量30%以上，养殖废弃物资源化利用率达90%以上，农业灌溉水利用率≥90%；</w:t>
      </w:r>
    </w:p>
    <w:p>
      <w:pPr>
        <w:numPr>
          <w:ilvl w:val="0"/>
          <w:numId w:val="96"/>
        </w:numPr>
        <w:spacing w:before="120" w:after="120" w:line="288" w:lineRule="auto"/>
        <w:rPr>
          <w:rFonts w:hint="eastAsia"/>
        </w:rPr>
      </w:pPr>
      <w:r>
        <w:rPr>
          <w:rFonts w:ascii="Arial" w:hAnsi="Arial" w:eastAsia="等线" w:cs="Arial"/>
        </w:rPr>
        <w:t>园区环保设施达标率100%，工业固废资源化利用率≥90%，单位产值能耗较行业平均水平降低40%；</w:t>
      </w:r>
    </w:p>
    <w:p>
      <w:pPr>
        <w:numPr>
          <w:ilvl w:val="0"/>
          <w:numId w:val="97"/>
        </w:numPr>
        <w:spacing w:before="120" w:after="120" w:line="288" w:lineRule="auto"/>
        <w:rPr>
          <w:rFonts w:hint="eastAsia"/>
        </w:rPr>
      </w:pPr>
      <w:r>
        <w:rPr>
          <w:rFonts w:ascii="Arial" w:hAnsi="Arial" w:eastAsia="等线" w:cs="Arial"/>
        </w:rPr>
        <w:t>物流航运环节单位货物碳排放较铁路运输降低30%以上，船舶尾气排放100%符合国际环保标准；</w:t>
      </w:r>
    </w:p>
    <w:p>
      <w:pPr>
        <w:numPr>
          <w:ilvl w:val="0"/>
          <w:numId w:val="98"/>
        </w:numPr>
        <w:spacing w:before="120" w:after="120" w:line="288" w:lineRule="auto"/>
        <w:rPr>
          <w:rFonts w:hint="eastAsia"/>
        </w:rPr>
      </w:pPr>
      <w:r>
        <w:rPr>
          <w:rFonts w:ascii="Arial" w:hAnsi="Arial" w:eastAsia="等线" w:cs="Arial"/>
        </w:rPr>
        <w:t>全产业链碳排放强度较初期降低50%，实现产业发展与碳中和目标协同推进；</w:t>
      </w:r>
    </w:p>
    <w:p>
      <w:pPr>
        <w:numPr>
          <w:ilvl w:val="0"/>
          <w:numId w:val="99"/>
        </w:numPr>
        <w:spacing w:before="120" w:after="120" w:line="288" w:lineRule="auto"/>
        <w:rPr>
          <w:rFonts w:hint="eastAsia"/>
        </w:rPr>
      </w:pPr>
      <w:r>
        <w:rPr>
          <w:rFonts w:ascii="Arial" w:hAnsi="Arial" w:eastAsia="等线" w:cs="Arial"/>
        </w:rPr>
        <w:t>区域生态环境质量保持稳定，无重大环境污染与生态破坏事件发生，实现产业发展与生态保护共赢。</w:t>
      </w:r>
    </w:p>
    <w:p>
      <w:pPr>
        <w:spacing w:before="320" w:after="120" w:line="288" w:lineRule="auto"/>
        <w:outlineLvl w:val="1"/>
        <w:rPr>
          <w:rFonts w:hint="eastAsia"/>
        </w:rPr>
      </w:pPr>
      <w:bookmarkStart w:id="57" w:name="heading_57"/>
      <w:r>
        <w:rPr>
          <w:rFonts w:ascii="Arial" w:hAnsi="Arial" w:eastAsia="等线" w:cs="Arial"/>
          <w:b/>
          <w:sz w:val="32"/>
        </w:rPr>
        <w:t>七、运营管理体系规划</w:t>
      </w:r>
      <w:bookmarkEnd w:id="57"/>
    </w:p>
    <w:p>
      <w:pPr>
        <w:spacing w:before="300" w:after="120" w:line="288" w:lineRule="auto"/>
        <w:outlineLvl w:val="2"/>
        <w:rPr>
          <w:rFonts w:hint="eastAsia"/>
        </w:rPr>
      </w:pPr>
      <w:bookmarkStart w:id="58" w:name="heading_58"/>
      <w:r>
        <w:rPr>
          <w:rFonts w:ascii="Arial" w:hAnsi="Arial" w:eastAsia="等线" w:cs="Arial"/>
          <w:b/>
          <w:sz w:val="30"/>
        </w:rPr>
        <w:t>（一）组织管理架构</w:t>
      </w:r>
      <w:bookmarkEnd w:id="58"/>
    </w:p>
    <w:p>
      <w:pPr>
        <w:spacing w:before="120" w:after="120" w:line="288" w:lineRule="auto"/>
        <w:rPr>
          <w:rFonts w:hint="eastAsia"/>
        </w:rPr>
      </w:pPr>
      <w:r>
        <w:rPr>
          <w:rFonts w:ascii="Arial" w:hAnsi="Arial" w:eastAsia="等线" w:cs="Arial"/>
        </w:rPr>
        <w:t>实行“中海外集团牵头统筹、黑土农业整体实施、专项主体分板块落地、园区自主运营、入园企业自主经营、中俄联合监管”的管理体制，构建权责清晰、协同高效的四级组织架构。</w:t>
      </w:r>
    </w:p>
    <w:p>
      <w:pPr>
        <w:spacing w:before="260" w:after="120" w:line="288" w:lineRule="auto"/>
        <w:outlineLvl w:val="3"/>
        <w:rPr>
          <w:rFonts w:hint="eastAsia"/>
        </w:rPr>
      </w:pPr>
      <w:bookmarkStart w:id="59" w:name="heading_59"/>
      <w:r>
        <w:rPr>
          <w:rFonts w:ascii="Arial" w:hAnsi="Arial" w:eastAsia="等线" w:cs="Arial"/>
          <w:b/>
          <w:sz w:val="28"/>
        </w:rPr>
        <w:t>1. 项目领导小组</w:t>
      </w:r>
      <w:bookmarkEnd w:id="59"/>
    </w:p>
    <w:p>
      <w:pPr>
        <w:spacing w:before="120" w:after="120" w:line="288" w:lineRule="auto"/>
        <w:rPr>
          <w:rFonts w:hint="eastAsia"/>
        </w:rPr>
      </w:pPr>
      <w:r>
        <w:rPr>
          <w:rFonts w:ascii="Arial" w:hAnsi="Arial" w:eastAsia="等线" w:cs="Arial"/>
        </w:rPr>
        <w:t>由中海外集团高层领导担任组长，中俄两国相关政府部门代表担任副组长，黑土农业负责人、地方政府代表、核心入园企业负责人、金融机构代表、行业专家担任成员，负责项目重大决策、跨境资源协调、重大风险处置，每年召开2次全体会议，统筹项目整体发展。</w:t>
      </w:r>
    </w:p>
    <w:p>
      <w:pPr>
        <w:spacing w:before="260" w:after="120" w:line="288" w:lineRule="auto"/>
        <w:outlineLvl w:val="3"/>
        <w:rPr>
          <w:rFonts w:hint="eastAsia"/>
        </w:rPr>
      </w:pPr>
      <w:bookmarkStart w:id="60" w:name="heading_60"/>
      <w:r>
        <w:rPr>
          <w:rFonts w:ascii="Arial" w:hAnsi="Arial" w:eastAsia="等线" w:cs="Arial"/>
          <w:b/>
          <w:sz w:val="28"/>
        </w:rPr>
        <w:t>2. 项目执行团队</w:t>
      </w:r>
      <w:bookmarkEnd w:id="60"/>
    </w:p>
    <w:p>
      <w:pPr>
        <w:spacing w:before="120" w:after="120" w:line="288" w:lineRule="auto"/>
        <w:rPr>
          <w:rFonts w:hint="eastAsia"/>
        </w:rPr>
      </w:pPr>
      <w:r>
        <w:rPr>
          <w:rFonts w:ascii="Arial" w:hAnsi="Arial" w:eastAsia="等线" w:cs="Arial"/>
        </w:rPr>
        <w:t>由黑土农业(北京)有限公司牵头组建，下设规划发展部、基础设施部、招商合作部、双园协同部、运营管理部、财务结算部、风险管控部、政策对接部、技术适配部、物流航运协调部10个职能部门，负责项目落地与日常统筹管理，中俄双语人才占比不低于60%，跨境项目经验人员占比不低于70%。</w:t>
      </w:r>
    </w:p>
    <w:p>
      <w:pPr>
        <w:spacing w:before="260" w:after="120" w:line="288" w:lineRule="auto"/>
        <w:outlineLvl w:val="3"/>
        <w:rPr>
          <w:rFonts w:hint="eastAsia"/>
        </w:rPr>
      </w:pPr>
      <w:bookmarkStart w:id="61" w:name="heading_61"/>
      <w:r>
        <w:rPr>
          <w:rFonts w:ascii="Arial" w:hAnsi="Arial" w:eastAsia="等线" w:cs="Arial"/>
          <w:b/>
          <w:sz w:val="28"/>
        </w:rPr>
        <w:t>3. 板块运营管理团队</w:t>
      </w:r>
      <w:bookmarkEnd w:id="61"/>
    </w:p>
    <w:p>
      <w:pPr>
        <w:spacing w:before="120" w:after="120" w:line="288" w:lineRule="auto"/>
        <w:rPr>
          <w:rFonts w:hint="eastAsia"/>
        </w:rPr>
      </w:pPr>
      <w:r>
        <w:rPr>
          <w:rFonts w:ascii="Arial" w:hAnsi="Arial" w:eastAsia="等线" w:cs="Arial"/>
        </w:rPr>
        <w:t>五大板块分别成立专项运营管理公司，负责各板块日常运营管理：</w:t>
      </w:r>
    </w:p>
    <w:p>
      <w:pPr>
        <w:numPr>
          <w:ilvl w:val="0"/>
          <w:numId w:val="100"/>
        </w:numPr>
        <w:spacing w:before="120" w:after="120" w:line="288" w:lineRule="auto"/>
        <w:rPr>
          <w:rFonts w:hint="eastAsia"/>
        </w:rPr>
      </w:pPr>
      <w:r>
        <w:rPr>
          <w:rFonts w:ascii="Arial" w:hAnsi="Arial" w:eastAsia="等线" w:cs="Arial"/>
        </w:rPr>
        <w:t>农业园区运营公司：黑龙江垚华农业发展有限公司，负责农业园区、种植基地的建设运营；</w:t>
      </w:r>
    </w:p>
    <w:p>
      <w:pPr>
        <w:numPr>
          <w:ilvl w:val="0"/>
          <w:numId w:val="101"/>
        </w:numPr>
        <w:spacing w:before="120" w:after="120" w:line="288" w:lineRule="auto"/>
        <w:rPr>
          <w:rFonts w:hint="eastAsia"/>
        </w:rPr>
      </w:pPr>
      <w:r>
        <w:rPr>
          <w:rFonts w:ascii="Arial" w:hAnsi="Arial" w:eastAsia="等线" w:cs="Arial"/>
        </w:rPr>
        <w:t>工业园区与铁路运营公司：垚泰园区管理（黑龙江）有限公司，负责马尔科沃园区、虎列铁路的建设运营；</w:t>
      </w:r>
    </w:p>
    <w:p>
      <w:pPr>
        <w:numPr>
          <w:ilvl w:val="0"/>
          <w:numId w:val="102"/>
        </w:numPr>
        <w:spacing w:before="120" w:after="120" w:line="288" w:lineRule="auto"/>
        <w:rPr>
          <w:rFonts w:hint="eastAsia"/>
        </w:rPr>
      </w:pPr>
      <w:r>
        <w:rPr>
          <w:rFonts w:ascii="Arial" w:hAnsi="Arial" w:eastAsia="等线" w:cs="Arial"/>
        </w:rPr>
        <w:t>化工园区运营公司：黑龙江自贸区绥芬河片区任飞国际贸易有限公司，负责萨里哈尔德化工园区的建设运营；</w:t>
      </w:r>
    </w:p>
    <w:p>
      <w:pPr>
        <w:numPr>
          <w:ilvl w:val="0"/>
          <w:numId w:val="103"/>
        </w:numPr>
        <w:spacing w:before="120" w:after="120" w:line="288" w:lineRule="auto"/>
        <w:rPr>
          <w:rFonts w:hint="eastAsia"/>
        </w:rPr>
      </w:pPr>
      <w:r>
        <w:rPr>
          <w:rFonts w:ascii="Arial" w:hAnsi="Arial" w:eastAsia="等线" w:cs="Arial"/>
        </w:rPr>
        <w:t>物流航运运营公司：国内头部走出去物流企业联合运营体，负责双物流通道、内河航运、北方海航道的建设运营；</w:t>
      </w:r>
    </w:p>
    <w:p>
      <w:pPr>
        <w:numPr>
          <w:ilvl w:val="0"/>
          <w:numId w:val="104"/>
        </w:numPr>
        <w:spacing w:before="120" w:after="120" w:line="288" w:lineRule="auto"/>
        <w:rPr>
          <w:rFonts w:hint="eastAsia"/>
        </w:rPr>
      </w:pPr>
      <w:r>
        <w:rPr>
          <w:rFonts w:ascii="Arial" w:hAnsi="Arial" w:eastAsia="等线" w:cs="Arial"/>
        </w:rPr>
        <w:t>两国双园协同管控团队：由中俄双方共同组建，负责虎林-马尔科沃双园跨境协同运营。</w:t>
      </w:r>
    </w:p>
    <w:p>
      <w:pPr>
        <w:spacing w:before="260" w:after="120" w:line="288" w:lineRule="auto"/>
        <w:outlineLvl w:val="3"/>
        <w:rPr>
          <w:rFonts w:hint="eastAsia"/>
        </w:rPr>
      </w:pPr>
      <w:bookmarkStart w:id="62" w:name="heading_62"/>
      <w:r>
        <w:rPr>
          <w:rFonts w:ascii="Arial" w:hAnsi="Arial" w:eastAsia="等线" w:cs="Arial"/>
          <w:b/>
          <w:sz w:val="28"/>
        </w:rPr>
        <w:t>4. 中俄联合监管机构</w:t>
      </w:r>
      <w:bookmarkEnd w:id="62"/>
    </w:p>
    <w:p>
      <w:pPr>
        <w:spacing w:before="120" w:after="120" w:line="288" w:lineRule="auto"/>
        <w:rPr>
          <w:rFonts w:hint="eastAsia"/>
        </w:rPr>
      </w:pPr>
      <w:r>
        <w:rPr>
          <w:rFonts w:ascii="Arial" w:hAnsi="Arial" w:eastAsia="等线" w:cs="Arial"/>
        </w:rPr>
        <w:t>由中俄两国相关部委、地方政府、中海外集团、入园企业代表、行业专家组成，负责项目运营、政策落实、环保安全、跨境通关的联合监管，定期开展检查与会商，协调解决跨境监管分歧，确保项目符合双边政策要求。</w:t>
      </w:r>
    </w:p>
    <w:p>
      <w:pPr>
        <w:spacing w:before="300" w:after="120" w:line="288" w:lineRule="auto"/>
        <w:outlineLvl w:val="2"/>
        <w:rPr>
          <w:rFonts w:hint="eastAsia"/>
        </w:rPr>
      </w:pPr>
      <w:bookmarkStart w:id="63" w:name="heading_63"/>
      <w:r>
        <w:rPr>
          <w:rFonts w:ascii="Arial" w:hAnsi="Arial" w:eastAsia="等线" w:cs="Arial"/>
          <w:b/>
          <w:sz w:val="30"/>
        </w:rPr>
        <w:t>（二）核心运营模式</w:t>
      </w:r>
      <w:bookmarkEnd w:id="63"/>
    </w:p>
    <w:p>
      <w:pPr>
        <w:spacing w:before="120" w:after="120" w:line="288" w:lineRule="auto"/>
        <w:rPr>
          <w:rFonts w:hint="eastAsia"/>
        </w:rPr>
      </w:pPr>
      <w:r>
        <w:rPr>
          <w:rFonts w:ascii="Arial" w:hAnsi="Arial" w:eastAsia="等线" w:cs="Arial"/>
        </w:rPr>
        <w:t>创新采用“中海外轻资产建园+企业市场化入园+全链条本土化供应+境内集中结算+中俄联合运营”的核心运营模式，实现项目可持续发展。</w:t>
      </w:r>
    </w:p>
    <w:p>
      <w:pPr>
        <w:numPr>
          <w:ilvl w:val="0"/>
          <w:numId w:val="105"/>
        </w:numPr>
        <w:spacing w:before="120" w:after="120" w:line="288" w:lineRule="auto"/>
        <w:rPr>
          <w:rFonts w:hint="eastAsia"/>
        </w:rPr>
      </w:pPr>
      <w:r>
        <w:rPr>
          <w:rFonts w:ascii="Arial" w:hAnsi="Arial" w:eastAsia="等线" w:cs="Arial"/>
          <w:b/>
        </w:rPr>
        <w:t>轻资产平台运营模式</w:t>
      </w:r>
      <w:r>
        <w:rPr>
          <w:rFonts w:ascii="Arial" w:hAnsi="Arial" w:eastAsia="等线" w:cs="Arial"/>
        </w:rPr>
        <w:t>：中海外集团聚焦园区基建、土地权属确权、公共服务平台搭建三大核心职能，不参与下游生产经营环节直接投资，通过耕地租赁、厂房出租、平台服务费实现稳定收益，为入园企业提供一站式公共服务与风险兜底。</w:t>
      </w:r>
    </w:p>
    <w:p>
      <w:pPr>
        <w:numPr>
          <w:ilvl w:val="0"/>
          <w:numId w:val="106"/>
        </w:numPr>
        <w:spacing w:before="120" w:after="120" w:line="288" w:lineRule="auto"/>
        <w:rPr>
          <w:rFonts w:hint="eastAsia"/>
        </w:rPr>
      </w:pPr>
      <w:r>
        <w:rPr>
          <w:rFonts w:ascii="Arial" w:hAnsi="Arial" w:eastAsia="等线" w:cs="Arial"/>
          <w:b/>
        </w:rPr>
        <w:t>市场化入园经营模式</w:t>
      </w:r>
      <w:r>
        <w:rPr>
          <w:rFonts w:ascii="Arial" w:hAnsi="Arial" w:eastAsia="等线" w:cs="Arial"/>
        </w:rPr>
        <w:t>：入园企业自主经营、自负盈亏，租赁园区耕地、厂房、基础设施开展生产经营，享受园区政策红利与配套服务，按市场化原则与上下游企业签订合作协议，形成产业协同。</w:t>
      </w:r>
    </w:p>
    <w:p>
      <w:pPr>
        <w:numPr>
          <w:ilvl w:val="0"/>
          <w:numId w:val="107"/>
        </w:numPr>
        <w:spacing w:before="120" w:after="120" w:line="288" w:lineRule="auto"/>
        <w:rPr>
          <w:rFonts w:hint="eastAsia"/>
        </w:rPr>
      </w:pPr>
      <w:r>
        <w:rPr>
          <w:rFonts w:ascii="Arial" w:hAnsi="Arial" w:eastAsia="等线" w:cs="Arial"/>
          <w:b/>
        </w:rPr>
        <w:t>全链条本土化运营模式</w:t>
      </w:r>
      <w:r>
        <w:rPr>
          <w:rFonts w:ascii="Arial" w:hAnsi="Arial" w:eastAsia="等线" w:cs="Arial"/>
        </w:rPr>
        <w:t>：以耕地开发的万亿级市场需求为牵引，推动农机、化工、建材、物流、能源全链条本土化生产供应，降低跨境采购成本与关税成本，提升产业链整体竞争力，同时带动俄罗斯属地就业与经济发展。</w:t>
      </w:r>
    </w:p>
    <w:p>
      <w:pPr>
        <w:numPr>
          <w:ilvl w:val="0"/>
          <w:numId w:val="108"/>
        </w:numPr>
        <w:spacing w:before="120" w:after="120" w:line="288" w:lineRule="auto"/>
        <w:rPr>
          <w:rFonts w:hint="eastAsia"/>
        </w:rPr>
      </w:pPr>
      <w:r>
        <w:rPr>
          <w:rFonts w:ascii="Arial" w:hAnsi="Arial" w:eastAsia="等线" w:cs="Arial"/>
          <w:b/>
        </w:rPr>
        <w:t>境内集中结算模式</w:t>
      </w:r>
      <w:r>
        <w:rPr>
          <w:rFonts w:ascii="Arial" w:hAnsi="Arial" w:eastAsia="等线" w:cs="Arial"/>
        </w:rPr>
        <w:t>：依托北京/上海全球服务中枢搭建境内结算平台，全产业链交易通过该平台完成，采用人民币计价结算，实现资金集中管控、风险集中防控，规避境外账户冻结、汇率波动等风险。</w:t>
      </w:r>
    </w:p>
    <w:p>
      <w:pPr>
        <w:numPr>
          <w:ilvl w:val="0"/>
          <w:numId w:val="109"/>
        </w:numPr>
        <w:spacing w:before="120" w:after="120" w:line="288" w:lineRule="auto"/>
        <w:rPr>
          <w:rFonts w:hint="eastAsia"/>
        </w:rPr>
      </w:pPr>
      <w:r>
        <w:rPr>
          <w:rFonts w:ascii="Arial" w:hAnsi="Arial" w:eastAsia="等线" w:cs="Arial"/>
          <w:b/>
        </w:rPr>
        <w:t>中俄联合运营模式</w:t>
      </w:r>
      <w:r>
        <w:rPr>
          <w:rFonts w:ascii="Arial" w:hAnsi="Arial" w:eastAsia="等线" w:cs="Arial"/>
        </w:rPr>
        <w:t>：与俄罗斯属地企业、政府机构建立联合运营机制，俄罗斯本地员工占比不低于70%，适配俄罗斯属地政策、法律、文化环境，实现中俄双方互利共赢。</w:t>
      </w:r>
    </w:p>
    <w:p>
      <w:pPr>
        <w:spacing w:before="300" w:after="120" w:line="288" w:lineRule="auto"/>
        <w:outlineLvl w:val="2"/>
        <w:rPr>
          <w:rFonts w:hint="eastAsia"/>
        </w:rPr>
      </w:pPr>
      <w:bookmarkStart w:id="64" w:name="heading_64"/>
      <w:r>
        <w:rPr>
          <w:rFonts w:ascii="Arial" w:hAnsi="Arial" w:eastAsia="等线" w:cs="Arial"/>
          <w:b/>
          <w:sz w:val="30"/>
        </w:rPr>
        <w:t>（三）核心管理制度</w:t>
      </w:r>
      <w:bookmarkEnd w:id="64"/>
    </w:p>
    <w:p>
      <w:pPr>
        <w:numPr>
          <w:ilvl w:val="0"/>
          <w:numId w:val="110"/>
        </w:numPr>
        <w:spacing w:before="120" w:after="120" w:line="288" w:lineRule="auto"/>
        <w:rPr>
          <w:rFonts w:hint="eastAsia"/>
        </w:rPr>
      </w:pPr>
      <w:r>
        <w:rPr>
          <w:rFonts w:ascii="Arial" w:hAnsi="Arial" w:eastAsia="等线" w:cs="Arial"/>
          <w:b/>
        </w:rPr>
        <w:t>入园管理制度</w:t>
      </w:r>
      <w:r>
        <w:rPr>
          <w:rFonts w:ascii="Arial" w:hAnsi="Arial" w:eastAsia="等线" w:cs="Arial"/>
        </w:rPr>
        <w:t>：制定明确的入园标准、审批流程、退出机制，优先引入龙头企业、创新型企业、绿色低碳企业，对违反协议、环保安全不达标、违法违规的企业启动退出程序，保障园区产业布局合理、合规运营。</w:t>
      </w:r>
    </w:p>
    <w:p>
      <w:pPr>
        <w:numPr>
          <w:ilvl w:val="0"/>
          <w:numId w:val="111"/>
        </w:numPr>
        <w:spacing w:before="120" w:after="120" w:line="288" w:lineRule="auto"/>
        <w:rPr>
          <w:rFonts w:hint="eastAsia"/>
        </w:rPr>
      </w:pPr>
      <w:r>
        <w:rPr>
          <w:rFonts w:ascii="Arial" w:hAnsi="Arial" w:eastAsia="等线" w:cs="Arial"/>
          <w:b/>
        </w:rPr>
        <w:t>安全生产管理制度</w:t>
      </w:r>
      <w:r>
        <w:rPr>
          <w:rFonts w:ascii="Arial" w:hAnsi="Arial" w:eastAsia="等线" w:cs="Arial"/>
        </w:rPr>
        <w:t>：建立“央企统筹、园区监管、企业主体”的安全生产责任体系，签订安全生产责任书，制定专项操作规程与应急预案，定期开展安全检查与应急演练，确保安全生产事故发生率为0。</w:t>
      </w:r>
    </w:p>
    <w:p>
      <w:pPr>
        <w:numPr>
          <w:ilvl w:val="0"/>
          <w:numId w:val="112"/>
        </w:numPr>
        <w:spacing w:before="120" w:after="120" w:line="288" w:lineRule="auto"/>
        <w:rPr>
          <w:rFonts w:hint="eastAsia"/>
        </w:rPr>
      </w:pPr>
      <w:r>
        <w:rPr>
          <w:rFonts w:ascii="Arial" w:hAnsi="Arial" w:eastAsia="等线" w:cs="Arial"/>
          <w:b/>
        </w:rPr>
        <w:t>环境保护管理制度</w:t>
      </w:r>
      <w:r>
        <w:rPr>
          <w:rFonts w:ascii="Arial" w:hAnsi="Arial" w:eastAsia="等线" w:cs="Arial"/>
        </w:rPr>
        <w:t>：将环保指标纳入企业考核体系，实行环保奖惩制度，企业严格落实环保“三同时”制度，接受园区与中俄环保部门监管，确保污染物达标排放，履行生态保护责任。</w:t>
      </w:r>
    </w:p>
    <w:p>
      <w:pPr>
        <w:numPr>
          <w:ilvl w:val="0"/>
          <w:numId w:val="113"/>
        </w:numPr>
        <w:spacing w:before="120" w:after="120" w:line="288" w:lineRule="auto"/>
        <w:rPr>
          <w:rFonts w:hint="eastAsia"/>
        </w:rPr>
      </w:pPr>
      <w:r>
        <w:rPr>
          <w:rFonts w:ascii="Arial" w:hAnsi="Arial" w:eastAsia="等线" w:cs="Arial"/>
          <w:b/>
        </w:rPr>
        <w:t>财务与资金管理制度</w:t>
      </w:r>
      <w:r>
        <w:rPr>
          <w:rFonts w:ascii="Arial" w:hAnsi="Arial" w:eastAsia="等线" w:cs="Arial"/>
        </w:rPr>
        <w:t>：实行“专款专用、分级审批、全程监管”的资金管理制度，园区收费标准公开透明，中海外集团每年开展财务审计，园区每半年进行财务公开，确保资金合规使用。</w:t>
      </w:r>
    </w:p>
    <w:p>
      <w:pPr>
        <w:numPr>
          <w:ilvl w:val="0"/>
          <w:numId w:val="114"/>
        </w:numPr>
        <w:spacing w:before="120" w:after="120" w:line="288" w:lineRule="auto"/>
        <w:rPr>
          <w:rFonts w:hint="eastAsia"/>
        </w:rPr>
      </w:pPr>
      <w:r>
        <w:rPr>
          <w:rFonts w:ascii="Arial" w:hAnsi="Arial" w:eastAsia="等线" w:cs="Arial"/>
          <w:b/>
        </w:rPr>
        <w:t>产业协同管理制度</w:t>
      </w:r>
      <w:r>
        <w:rPr>
          <w:rFonts w:ascii="Arial" w:hAnsi="Arial" w:eastAsia="等线" w:cs="Arial"/>
        </w:rPr>
        <w:t>：建立入园企业上下游协同协议制度，搭建产业协同信息平台，将产业协同配合度纳入企业考核体系，推动全产业链资源高效匹配、协同发展。</w:t>
      </w:r>
    </w:p>
    <w:p>
      <w:pPr>
        <w:numPr>
          <w:ilvl w:val="0"/>
          <w:numId w:val="115"/>
        </w:numPr>
        <w:spacing w:before="120" w:after="120" w:line="288" w:lineRule="auto"/>
        <w:rPr>
          <w:rFonts w:hint="eastAsia"/>
        </w:rPr>
      </w:pPr>
      <w:r>
        <w:rPr>
          <w:rFonts w:ascii="Arial" w:hAnsi="Arial" w:eastAsia="等线" w:cs="Arial"/>
          <w:b/>
        </w:rPr>
        <w:t>跨境协同管理制度</w:t>
      </w:r>
      <w:r>
        <w:rPr>
          <w:rFonts w:ascii="Arial" w:hAnsi="Arial" w:eastAsia="等线" w:cs="Arial"/>
        </w:rPr>
        <w:t>：建立中俄双园政策对接、物流通关、人员往来、产业联动常态化协同机制，推动中俄监管标准互通、结果互认，实现人员、物资、资金跨境高效流转。</w:t>
      </w:r>
    </w:p>
    <w:p>
      <w:pPr>
        <w:spacing w:before="300" w:after="120" w:line="288" w:lineRule="auto"/>
        <w:outlineLvl w:val="2"/>
        <w:rPr>
          <w:rFonts w:hint="eastAsia"/>
        </w:rPr>
      </w:pPr>
      <w:bookmarkStart w:id="65" w:name="heading_65"/>
      <w:r>
        <w:rPr>
          <w:rFonts w:ascii="Arial" w:hAnsi="Arial" w:eastAsia="等线" w:cs="Arial"/>
          <w:b/>
          <w:sz w:val="30"/>
        </w:rPr>
        <w:t>（四）人力资源规划</w:t>
      </w:r>
      <w:bookmarkEnd w:id="65"/>
    </w:p>
    <w:p>
      <w:pPr>
        <w:numPr>
          <w:ilvl w:val="0"/>
          <w:numId w:val="116"/>
        </w:numPr>
        <w:spacing w:before="120" w:after="120" w:line="288" w:lineRule="auto"/>
        <w:rPr>
          <w:rFonts w:hint="eastAsia"/>
        </w:rPr>
      </w:pPr>
      <w:r>
        <w:rPr>
          <w:rFonts w:ascii="Arial" w:hAnsi="Arial" w:eastAsia="等线" w:cs="Arial"/>
          <w:b/>
        </w:rPr>
        <w:t>人员配置</w:t>
      </w:r>
      <w:r>
        <w:rPr>
          <w:rFonts w:ascii="Arial" w:hAnsi="Arial" w:eastAsia="等线" w:cs="Arial"/>
        </w:rPr>
        <w:t>：项目直接带动就业岗位24.33万个，其中项目管理与运营团队300-500人，园区生产经营岗位24万余人，俄罗斯本地员工占比不低于70%，中方以技术、管理人才为主，负责技术指导与跨境协作。</w:t>
      </w:r>
    </w:p>
    <w:p>
      <w:pPr>
        <w:numPr>
          <w:ilvl w:val="0"/>
          <w:numId w:val="117"/>
        </w:numPr>
        <w:spacing w:before="120" w:after="120" w:line="288" w:lineRule="auto"/>
        <w:rPr>
          <w:rFonts w:hint="eastAsia"/>
        </w:rPr>
      </w:pPr>
      <w:r>
        <w:rPr>
          <w:rFonts w:ascii="Arial" w:hAnsi="Arial" w:eastAsia="等线" w:cs="Arial"/>
          <w:b/>
        </w:rPr>
        <w:t>人才培养</w:t>
      </w:r>
      <w:r>
        <w:rPr>
          <w:rFonts w:ascii="Arial" w:hAnsi="Arial" w:eastAsia="等线" w:cs="Arial"/>
        </w:rPr>
        <w:t>：与中俄两国高校、职业院校合作开展定向人才培养，为入园企业提供农业、农机、化工、航运、管理等专业技能培训；开展中俄双语与跨境合规培训，每年培训不少于8万人次；推动中俄人才双向交流，培养兼具中俄双背景的复合型国际化人才。</w:t>
      </w:r>
    </w:p>
    <w:p>
      <w:pPr>
        <w:numPr>
          <w:ilvl w:val="0"/>
          <w:numId w:val="118"/>
        </w:numPr>
        <w:spacing w:before="120" w:after="120" w:line="288" w:lineRule="auto"/>
        <w:rPr>
          <w:rFonts w:hint="eastAsia"/>
        </w:rPr>
      </w:pPr>
      <w:r>
        <w:rPr>
          <w:rFonts w:ascii="Arial" w:hAnsi="Arial" w:eastAsia="等线" w:cs="Arial"/>
          <w:b/>
        </w:rPr>
        <w:t>薪酬激励</w:t>
      </w:r>
      <w:r>
        <w:rPr>
          <w:rFonts w:ascii="Arial" w:hAnsi="Arial" w:eastAsia="等线" w:cs="Arial"/>
        </w:rPr>
        <w:t>：建立具有市场竞争力的薪酬福利体系，核心管理与技术人才实行“基本工资+绩效工资+奖金+跨境补贴”，对有突出贡献的人才给予专项奖励与股权激励，绑定个人与项目发展，提升人才归属感与积极性。</w:t>
      </w:r>
    </w:p>
    <w:p>
      <w:pPr>
        <w:spacing w:before="320" w:after="120" w:line="288" w:lineRule="auto"/>
        <w:outlineLvl w:val="1"/>
        <w:rPr>
          <w:rFonts w:hint="eastAsia"/>
        </w:rPr>
      </w:pPr>
      <w:bookmarkStart w:id="66" w:name="heading_66"/>
      <w:r>
        <w:rPr>
          <w:rFonts w:ascii="Arial" w:hAnsi="Arial" w:eastAsia="等线" w:cs="Arial"/>
          <w:b/>
          <w:sz w:val="32"/>
        </w:rPr>
        <w:t>八、投资估算与效益分析</w:t>
      </w:r>
      <w:bookmarkEnd w:id="66"/>
    </w:p>
    <w:p>
      <w:pPr>
        <w:spacing w:before="300" w:after="120" w:line="288" w:lineRule="auto"/>
        <w:outlineLvl w:val="2"/>
        <w:rPr>
          <w:rFonts w:hint="eastAsia"/>
        </w:rPr>
      </w:pPr>
      <w:bookmarkStart w:id="67" w:name="heading_67"/>
      <w:r>
        <w:rPr>
          <w:rFonts w:ascii="Arial" w:hAnsi="Arial" w:eastAsia="等线" w:cs="Arial"/>
          <w:b/>
          <w:sz w:val="30"/>
        </w:rPr>
        <w:t>（一）总投资估算</w:t>
      </w:r>
      <w:bookmarkEnd w:id="67"/>
    </w:p>
    <w:p>
      <w:pPr>
        <w:spacing w:before="120" w:after="120" w:line="288" w:lineRule="auto"/>
        <w:rPr>
          <w:rFonts w:hint="eastAsia"/>
        </w:rPr>
      </w:pPr>
      <w:r>
        <w:rPr>
          <w:rFonts w:ascii="Arial" w:hAnsi="Arial" w:eastAsia="等线" w:cs="Arial"/>
        </w:rPr>
        <w:t>本项目总投资规模</w:t>
      </w:r>
      <w:r>
        <w:rPr>
          <w:rFonts w:ascii="Arial" w:hAnsi="Arial" w:eastAsia="等线" w:cs="Arial"/>
          <w:b/>
        </w:rPr>
        <w:t>2023亿元人民币</w:t>
      </w:r>
      <w:r>
        <w:rPr>
          <w:rFonts w:ascii="Arial" w:hAnsi="Arial" w:eastAsia="等线" w:cs="Arial"/>
        </w:rPr>
        <w:t>，其中中海外集团核心基建与平台投资770亿元，入园企业生产经营性投资1253亿元；物流航运板块配套投资</w:t>
      </w:r>
      <w:r>
        <w:rPr>
          <w:rFonts w:ascii="Arial" w:hAnsi="Arial" w:eastAsia="等线" w:cs="Arial"/>
          <w:b/>
        </w:rPr>
        <w:t>79-119亿美元（约合570-860亿元人民币）</w:t>
      </w:r>
      <w:r>
        <w:rPr>
          <w:rFonts w:ascii="Arial" w:hAnsi="Arial" w:eastAsia="等线" w:cs="Arial"/>
        </w:rPr>
        <w:t>，纳入物流板块总投资统筹。</w:t>
      </w:r>
    </w:p>
    <w:p>
      <w:pPr>
        <w:spacing w:before="260" w:after="120" w:line="288" w:lineRule="auto"/>
        <w:outlineLvl w:val="3"/>
        <w:rPr>
          <w:rFonts w:hint="eastAsia"/>
        </w:rPr>
      </w:pPr>
      <w:bookmarkStart w:id="68" w:name="heading_68"/>
      <w:r>
        <w:rPr>
          <w:rFonts w:ascii="Arial" w:hAnsi="Arial" w:eastAsia="等线" w:cs="Arial"/>
          <w:b/>
          <w:sz w:val="28"/>
        </w:rPr>
        <w:t>1. 分板块投资估算</w:t>
      </w:r>
      <w:bookmarkEnd w:id="68"/>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板块名称</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总投资（亿元）</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投资占比</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核心投资内容</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农业园区板块</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830</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41.03%</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种植基地基础设施、粮油加工生产线、畜牧养殖基地、冷链仓储设施、粮仓、农机服务设施</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工业园区板块</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325</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16.07%</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标准化厂房、农机生产线、建材加工设施、保税加工区、研发检测中心</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能源化工园区板块</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262</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12.95%</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化肥/农药生产线、化工生产车间、危险品仓储、环保处理设施、配套能源设施</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物流航运板块</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358</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17.70%</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内河航道整治、港口码头建设、集散节点配套、船队建造、智能调度系统</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虎列铁路板块</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248</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12.26%</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铁路线路建设、桥梁隧道、场站设施、机车车辆制造、配套维修设施</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合计</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2023</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100.00%</w:t>
            </w:r>
          </w:p>
        </w:tc>
        <w:tc>
          <w:tcPr>
            <w:tcW w:w="207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w:t>
            </w:r>
          </w:p>
        </w:tc>
      </w:tr>
    </w:tbl>
    <w:p>
      <w:pPr>
        <w:spacing w:before="260" w:after="120" w:line="288" w:lineRule="auto"/>
        <w:outlineLvl w:val="3"/>
        <w:rPr>
          <w:rFonts w:hint="eastAsia"/>
        </w:rPr>
      </w:pPr>
      <w:bookmarkStart w:id="69" w:name="heading_69"/>
      <w:r>
        <w:rPr>
          <w:rFonts w:ascii="Arial" w:hAnsi="Arial" w:eastAsia="等线" w:cs="Arial"/>
          <w:b/>
          <w:sz w:val="28"/>
        </w:rPr>
        <w:t>2. 分阶段投资计划</w:t>
      </w:r>
      <w:bookmarkEnd w:id="69"/>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实施阶段</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时间周期</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累计投资规模（亿元）</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投资占比</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核心投资方向</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启动建设期</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2027-2030年</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607</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30%</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土地确权、核心园区样板段建设、物流通道试点工程、首批企业入园配套</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扩能提效期</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2031-2033年</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1416</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70%</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三大园区全面建设、物流航运体系核心工程、虎列铁路全线建设、全产业链配套设施</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全面达产期</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2034-2036年</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2023</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100%</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产业链优化升级、配套设施完善、智能化体系全面落地</w:t>
            </w:r>
          </w:p>
        </w:tc>
      </w:tr>
    </w:tbl>
    <w:p>
      <w:pPr>
        <w:spacing w:before="260" w:after="120" w:line="288" w:lineRule="auto"/>
        <w:outlineLvl w:val="3"/>
        <w:rPr>
          <w:rFonts w:hint="eastAsia"/>
        </w:rPr>
      </w:pPr>
      <w:bookmarkStart w:id="70" w:name="heading_70"/>
      <w:r>
        <w:rPr>
          <w:rFonts w:ascii="Arial" w:hAnsi="Arial" w:eastAsia="等线" w:cs="Arial"/>
          <w:b/>
          <w:sz w:val="28"/>
        </w:rPr>
        <w:t>3. 资金筹措方案</w:t>
      </w:r>
      <w:bookmarkEnd w:id="70"/>
    </w:p>
    <w:p>
      <w:pPr>
        <w:spacing w:before="120" w:after="120" w:line="288" w:lineRule="auto"/>
        <w:rPr>
          <w:rFonts w:hint="eastAsia"/>
        </w:rPr>
      </w:pPr>
      <w:r>
        <w:rPr>
          <w:rFonts w:ascii="Arial" w:hAnsi="Arial" w:eastAsia="等线" w:cs="Arial"/>
        </w:rPr>
        <w:t>采用“多元化、多渠道”的资金筹措方案，保障项目建设资金需求：</w:t>
      </w:r>
    </w:p>
    <w:p>
      <w:pPr>
        <w:numPr>
          <w:ilvl w:val="0"/>
          <w:numId w:val="119"/>
        </w:numPr>
        <w:spacing w:before="120" w:after="120" w:line="288" w:lineRule="auto"/>
        <w:rPr>
          <w:rFonts w:hint="eastAsia"/>
        </w:rPr>
      </w:pPr>
      <w:r>
        <w:rPr>
          <w:rFonts w:ascii="Arial" w:hAnsi="Arial" w:eastAsia="等线" w:cs="Arial"/>
          <w:b/>
        </w:rPr>
        <w:t>企业自有资金</w:t>
      </w:r>
      <w:r>
        <w:rPr>
          <w:rFonts w:ascii="Arial" w:hAnsi="Arial" w:eastAsia="等线" w:cs="Arial"/>
        </w:rPr>
        <w:t>：占总投资的30%，合计606.9亿元，由中海外集团、黑土农业及入园企业以自有资金出资；</w:t>
      </w:r>
    </w:p>
    <w:p>
      <w:pPr>
        <w:numPr>
          <w:ilvl w:val="0"/>
          <w:numId w:val="120"/>
        </w:numPr>
        <w:spacing w:before="120" w:after="120" w:line="288" w:lineRule="auto"/>
        <w:rPr>
          <w:rFonts w:hint="eastAsia"/>
        </w:rPr>
      </w:pPr>
      <w:r>
        <w:rPr>
          <w:rFonts w:ascii="Arial" w:hAnsi="Arial" w:eastAsia="等线" w:cs="Arial"/>
          <w:b/>
        </w:rPr>
        <w:t>政策性银行贷款</w:t>
      </w:r>
      <w:r>
        <w:rPr>
          <w:rFonts w:ascii="Arial" w:hAnsi="Arial" w:eastAsia="等线" w:cs="Arial"/>
        </w:rPr>
        <w:t>：占总投资的50%，合计1011.5亿元，申请中国国家开发银行、中国进出口银行、俄罗斯外经银行等中俄两国开发性金融机构的长期低息项目贷款，贷款期限15-20年；</w:t>
      </w:r>
    </w:p>
    <w:p>
      <w:pPr>
        <w:numPr>
          <w:ilvl w:val="0"/>
          <w:numId w:val="121"/>
        </w:numPr>
        <w:spacing w:before="120" w:after="120" w:line="288" w:lineRule="auto"/>
        <w:rPr>
          <w:rFonts w:hint="eastAsia"/>
        </w:rPr>
      </w:pPr>
      <w:r>
        <w:rPr>
          <w:rFonts w:ascii="Arial" w:hAnsi="Arial" w:eastAsia="等线" w:cs="Arial"/>
          <w:b/>
        </w:rPr>
        <w:t>产业基金与社会资本</w:t>
      </w:r>
      <w:r>
        <w:rPr>
          <w:rFonts w:ascii="Arial" w:hAnsi="Arial" w:eastAsia="等线" w:cs="Arial"/>
        </w:rPr>
        <w:t>：占总投资的20%，合计404.6亿元，引入中俄农业产业投资基金、基础设施投资基金、航运产业基金等社会资本，采用股权或债权方式投资。</w:t>
      </w:r>
    </w:p>
    <w:p>
      <w:pPr>
        <w:spacing w:before="300" w:after="120" w:line="288" w:lineRule="auto"/>
        <w:outlineLvl w:val="2"/>
        <w:rPr>
          <w:rFonts w:hint="eastAsia"/>
        </w:rPr>
      </w:pPr>
      <w:bookmarkStart w:id="71" w:name="heading_71"/>
      <w:r>
        <w:rPr>
          <w:rFonts w:ascii="Arial" w:hAnsi="Arial" w:eastAsia="等线" w:cs="Arial"/>
          <w:b/>
          <w:sz w:val="30"/>
        </w:rPr>
        <w:t>（二）经济效益分析</w:t>
      </w:r>
      <w:bookmarkEnd w:id="71"/>
    </w:p>
    <w:p>
      <w:pPr>
        <w:spacing w:before="260" w:after="120" w:line="288" w:lineRule="auto"/>
        <w:outlineLvl w:val="3"/>
        <w:rPr>
          <w:rFonts w:hint="eastAsia"/>
        </w:rPr>
      </w:pPr>
      <w:bookmarkStart w:id="72" w:name="heading_72"/>
      <w:r>
        <w:rPr>
          <w:rFonts w:ascii="Arial" w:hAnsi="Arial" w:eastAsia="等线" w:cs="Arial"/>
          <w:b/>
          <w:sz w:val="28"/>
        </w:rPr>
        <w:t>1. 核心经营指标测算</w:t>
      </w:r>
      <w:bookmarkEnd w:id="72"/>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实施阶段</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年度总产值（亿元）</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年度总利润（亿元）</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投资回报率</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原料本土化供应率</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启动期（2030年）</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1200</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260</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12.85%</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40%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扩能期（2033年）</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5259</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1209.57</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59.79%</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100%</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达产期（2036年）</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10460</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2405.8</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118.92%</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100%</w:t>
            </w:r>
          </w:p>
        </w:tc>
      </w:tr>
    </w:tbl>
    <w:p>
      <w:pPr>
        <w:spacing w:before="260" w:after="120" w:line="288" w:lineRule="auto"/>
        <w:outlineLvl w:val="3"/>
        <w:rPr>
          <w:rFonts w:hint="eastAsia"/>
        </w:rPr>
      </w:pPr>
      <w:bookmarkStart w:id="73" w:name="heading_73"/>
      <w:r>
        <w:rPr>
          <w:rFonts w:ascii="Arial" w:hAnsi="Arial" w:eastAsia="等线" w:cs="Arial"/>
          <w:b/>
          <w:sz w:val="28"/>
        </w:rPr>
        <w:t>2. 中海外集团投资收益测算</w:t>
      </w:r>
      <w:bookmarkEnd w:id="73"/>
    </w:p>
    <w:p>
      <w:pPr>
        <w:spacing w:before="120" w:after="120" w:line="288" w:lineRule="auto"/>
        <w:rPr>
          <w:rFonts w:hint="eastAsia"/>
        </w:rPr>
      </w:pPr>
      <w:r>
        <w:rPr>
          <w:rFonts w:ascii="Arial" w:hAnsi="Arial" w:eastAsia="等线" w:cs="Arial"/>
        </w:rPr>
        <w:t>中海外集团采用轻资产运营模式，总投资770亿元，无土地确权相关费用支出，核心收益来源包括耕地租赁、厂房出租、平台服务费、设施使用费，年度稳定收益达250亿元，静态投资回收期3.08年，具备极强的盈利稳定性。</w:t>
      </w:r>
    </w:p>
    <w:p>
      <w:pPr>
        <w:spacing w:before="260" w:after="120" w:line="288" w:lineRule="auto"/>
        <w:outlineLvl w:val="3"/>
        <w:rPr>
          <w:rFonts w:hint="eastAsia"/>
        </w:rPr>
      </w:pPr>
      <w:bookmarkStart w:id="74" w:name="heading_74"/>
      <w:r>
        <w:rPr>
          <w:rFonts w:ascii="Arial" w:hAnsi="Arial" w:eastAsia="等线" w:cs="Arial"/>
          <w:b/>
          <w:sz w:val="28"/>
        </w:rPr>
        <w:t>3. 入园企业收益测算</w:t>
      </w:r>
      <w:bookmarkEnd w:id="74"/>
    </w:p>
    <w:p>
      <w:pPr>
        <w:spacing w:before="120" w:after="120" w:line="288" w:lineRule="auto"/>
        <w:rPr>
          <w:rFonts w:hint="eastAsia"/>
        </w:rPr>
      </w:pPr>
      <w:r>
        <w:rPr>
          <w:rFonts w:ascii="Arial" w:hAnsi="Arial" w:eastAsia="等线" w:cs="Arial"/>
        </w:rPr>
        <w:t>入园企业依托全链条本土化供应与低成本物流通道，平均利润率较传统海外投资提升20%-25%，其中农机企业综合成本降低35%，化工企业化肥运输成本降低88.9%，物流企业运输成本降低35%，种植企业原料采购成本降低28%，投资回报周期较传统海外投资缩短30%以上，具备良好的盈利空间。</w:t>
      </w:r>
    </w:p>
    <w:p>
      <w:pPr>
        <w:spacing w:before="260" w:after="120" w:line="288" w:lineRule="auto"/>
        <w:outlineLvl w:val="3"/>
        <w:rPr>
          <w:rFonts w:hint="eastAsia"/>
        </w:rPr>
      </w:pPr>
      <w:bookmarkStart w:id="75" w:name="heading_75"/>
      <w:r>
        <w:rPr>
          <w:rFonts w:ascii="Arial" w:hAnsi="Arial" w:eastAsia="等线" w:cs="Arial"/>
          <w:b/>
          <w:sz w:val="28"/>
        </w:rPr>
        <w:t>4. 核心财务评价指标</w:t>
      </w:r>
      <w:bookmarkEnd w:id="75"/>
    </w:p>
    <w:p>
      <w:pPr>
        <w:numPr>
          <w:ilvl w:val="0"/>
          <w:numId w:val="122"/>
        </w:numPr>
        <w:spacing w:before="120" w:after="120" w:line="288" w:lineRule="auto"/>
        <w:rPr>
          <w:rFonts w:hint="eastAsia"/>
        </w:rPr>
      </w:pPr>
      <w:r>
        <w:rPr>
          <w:rFonts w:ascii="Arial" w:hAnsi="Arial" w:eastAsia="等线" w:cs="Arial"/>
        </w:rPr>
        <w:t>项目全投资财务内部收益率（FIRR）：18.6%，远高于大宗农业项目行业基准收益率8%；</w:t>
      </w:r>
    </w:p>
    <w:p>
      <w:pPr>
        <w:numPr>
          <w:ilvl w:val="0"/>
          <w:numId w:val="123"/>
        </w:numPr>
        <w:spacing w:before="120" w:after="120" w:line="288" w:lineRule="auto"/>
        <w:rPr>
          <w:rFonts w:hint="eastAsia"/>
        </w:rPr>
      </w:pPr>
      <w:r>
        <w:rPr>
          <w:rFonts w:ascii="Arial" w:hAnsi="Arial" w:eastAsia="等线" w:cs="Arial"/>
        </w:rPr>
        <w:t>项目全投资财务净现值（FNPV，ic=8%）：3860亿元，远大于0；</w:t>
      </w:r>
    </w:p>
    <w:p>
      <w:pPr>
        <w:numPr>
          <w:ilvl w:val="0"/>
          <w:numId w:val="124"/>
        </w:numPr>
        <w:spacing w:before="120" w:after="120" w:line="288" w:lineRule="auto"/>
        <w:rPr>
          <w:rFonts w:hint="eastAsia"/>
        </w:rPr>
      </w:pPr>
      <w:r>
        <w:rPr>
          <w:rFonts w:ascii="Arial" w:hAnsi="Arial" w:eastAsia="等线" w:cs="Arial"/>
        </w:rPr>
        <w:t>静态投资回收期：5.8年（含建设期4年），动态投资回收期：6.7年（含建设期4年）；</w:t>
      </w:r>
    </w:p>
    <w:p>
      <w:pPr>
        <w:numPr>
          <w:ilvl w:val="0"/>
          <w:numId w:val="125"/>
        </w:numPr>
        <w:spacing w:before="120" w:after="120" w:line="288" w:lineRule="auto"/>
        <w:rPr>
          <w:rFonts w:hint="eastAsia"/>
        </w:rPr>
      </w:pPr>
      <w:r>
        <w:rPr>
          <w:rFonts w:ascii="Arial" w:hAnsi="Arial" w:eastAsia="等线" w:cs="Arial"/>
        </w:rPr>
        <w:t>项目盈亏平衡点：38.2%，即当年产能达到设计产能的38.2%时，项目可实现盈亏平衡，具备极强的抗风险能力。</w:t>
      </w:r>
    </w:p>
    <w:p>
      <w:pPr>
        <w:spacing w:before="300" w:after="120" w:line="288" w:lineRule="auto"/>
        <w:outlineLvl w:val="2"/>
        <w:rPr>
          <w:rFonts w:hint="eastAsia"/>
        </w:rPr>
      </w:pPr>
      <w:bookmarkStart w:id="76" w:name="heading_76"/>
      <w:r>
        <w:rPr>
          <w:rFonts w:ascii="Arial" w:hAnsi="Arial" w:eastAsia="等线" w:cs="Arial"/>
          <w:b/>
          <w:sz w:val="30"/>
        </w:rPr>
        <w:t>（三）社会效益分析</w:t>
      </w:r>
      <w:bookmarkEnd w:id="76"/>
    </w:p>
    <w:p>
      <w:pPr>
        <w:numPr>
          <w:ilvl w:val="0"/>
          <w:numId w:val="126"/>
        </w:numPr>
        <w:spacing w:before="120" w:after="120" w:line="288" w:lineRule="auto"/>
        <w:rPr>
          <w:rFonts w:hint="eastAsia"/>
        </w:rPr>
      </w:pPr>
      <w:r>
        <w:rPr>
          <w:rFonts w:ascii="Arial" w:hAnsi="Arial" w:eastAsia="等线" w:cs="Arial"/>
          <w:b/>
        </w:rPr>
        <w:t>筑牢国家粮食安全屏障</w:t>
      </w:r>
      <w:r>
        <w:rPr>
          <w:rFonts w:ascii="Arial" w:hAnsi="Arial" w:eastAsia="等线" w:cs="Arial"/>
        </w:rPr>
        <w:t>：项目达产后年向中国稳定供应大豆1440万吨、玉米4320万吨，可有效弥补国内主粮供需缺口，降低粮食进口对传统市场的依赖度，构建自主可控的海外粮源渠道，全面提升国家粮食安全保障能力。</w:t>
      </w:r>
    </w:p>
    <w:p>
      <w:pPr>
        <w:numPr>
          <w:ilvl w:val="0"/>
          <w:numId w:val="127"/>
        </w:numPr>
        <w:spacing w:before="120" w:after="120" w:line="288" w:lineRule="auto"/>
        <w:rPr>
          <w:rFonts w:hint="eastAsia"/>
        </w:rPr>
      </w:pPr>
      <w:r>
        <w:rPr>
          <w:rFonts w:ascii="Arial" w:hAnsi="Arial" w:eastAsia="等线" w:cs="Arial"/>
          <w:b/>
        </w:rPr>
        <w:t>带动中俄双边就业增长</w:t>
      </w:r>
      <w:r>
        <w:rPr>
          <w:rFonts w:ascii="Arial" w:hAnsi="Arial" w:eastAsia="等线" w:cs="Arial"/>
        </w:rPr>
        <w:t>：项目直接创造境内外就业岗位24.33万个，间接带动就业178.25万个，其中俄罗斯本地就业岗位超115万个，有效带动俄罗斯远东、西伯利亚、北极地区居民收入增长与民生改善，增进中俄民间友好往来。</w:t>
      </w:r>
    </w:p>
    <w:p>
      <w:pPr>
        <w:numPr>
          <w:ilvl w:val="0"/>
          <w:numId w:val="128"/>
        </w:numPr>
        <w:spacing w:before="120" w:after="120" w:line="288" w:lineRule="auto"/>
        <w:rPr>
          <w:rFonts w:hint="eastAsia"/>
        </w:rPr>
      </w:pPr>
      <w:r>
        <w:rPr>
          <w:rFonts w:ascii="Arial" w:hAnsi="Arial" w:eastAsia="等线" w:cs="Arial"/>
          <w:b/>
        </w:rPr>
        <w:t>推动俄罗斯区域经济发展</w:t>
      </w:r>
      <w:r>
        <w:rPr>
          <w:rFonts w:ascii="Arial" w:hAnsi="Arial" w:eastAsia="等线" w:cs="Arial"/>
        </w:rPr>
        <w:t>：项目推动俄罗斯农业现代化、远东制造业升级、北极能源化工产业发展，完善俄罗斯内河航运与铁路基础设施，每年为俄罗斯带来不低于189.94亿元的财政收入，助力俄罗斯远东开发与北极开发国家战略实施。</w:t>
      </w:r>
    </w:p>
    <w:p>
      <w:pPr>
        <w:numPr>
          <w:ilvl w:val="0"/>
          <w:numId w:val="129"/>
        </w:numPr>
        <w:spacing w:before="120" w:after="120" w:line="288" w:lineRule="auto"/>
        <w:rPr>
          <w:rFonts w:hint="eastAsia"/>
        </w:rPr>
      </w:pPr>
      <w:r>
        <w:rPr>
          <w:rFonts w:ascii="Arial" w:hAnsi="Arial" w:eastAsia="等线" w:cs="Arial"/>
          <w:b/>
        </w:rPr>
        <w:t>带动中国优势产业出海</w:t>
      </w:r>
      <w:r>
        <w:rPr>
          <w:rFonts w:ascii="Arial" w:hAnsi="Arial" w:eastAsia="等线" w:cs="Arial"/>
        </w:rPr>
        <w:t>：项目带动中国农业种植、农机制造、化工生产、基建工程、航运物流等优势产业抱团出海，带动6000家以上中资企业跨境发展，推动中国农业技术、装备、标准出海，提升中国农业产业的国际话语权与竞争力。</w:t>
      </w:r>
    </w:p>
    <w:p>
      <w:pPr>
        <w:numPr>
          <w:ilvl w:val="0"/>
          <w:numId w:val="130"/>
        </w:numPr>
        <w:spacing w:before="120" w:after="120" w:line="288" w:lineRule="auto"/>
        <w:rPr>
          <w:rFonts w:hint="eastAsia"/>
        </w:rPr>
      </w:pPr>
      <w:r>
        <w:rPr>
          <w:rFonts w:ascii="Arial" w:hAnsi="Arial" w:eastAsia="等线" w:cs="Arial"/>
          <w:b/>
        </w:rPr>
        <w:t>深化中俄双边战略合作</w:t>
      </w:r>
      <w:r>
        <w:rPr>
          <w:rFonts w:ascii="Arial" w:hAnsi="Arial" w:eastAsia="等线" w:cs="Arial"/>
        </w:rPr>
        <w:t>：项目作为中俄总理会晤成果落地的标志性工程，推动中俄农业、工业、能源、物流、交通等领域深度合作，促进两国资源、技术、人才双向流动，进一步夯实中俄新时代全面战略协作伙伴关系的经济基础。</w:t>
      </w:r>
    </w:p>
    <w:p>
      <w:pPr>
        <w:spacing w:before="300" w:after="120" w:line="288" w:lineRule="auto"/>
        <w:outlineLvl w:val="2"/>
        <w:rPr>
          <w:rFonts w:hint="eastAsia"/>
        </w:rPr>
      </w:pPr>
      <w:bookmarkStart w:id="77" w:name="heading_77"/>
      <w:r>
        <w:rPr>
          <w:rFonts w:ascii="Arial" w:hAnsi="Arial" w:eastAsia="等线" w:cs="Arial"/>
          <w:b/>
          <w:sz w:val="30"/>
        </w:rPr>
        <w:t>（四）生态效益分析</w:t>
      </w:r>
      <w:bookmarkEnd w:id="77"/>
    </w:p>
    <w:p>
      <w:pPr>
        <w:numPr>
          <w:ilvl w:val="0"/>
          <w:numId w:val="131"/>
        </w:numPr>
        <w:spacing w:before="120" w:after="120" w:line="288" w:lineRule="auto"/>
        <w:rPr>
          <w:rFonts w:hint="eastAsia"/>
        </w:rPr>
      </w:pPr>
      <w:r>
        <w:rPr>
          <w:rFonts w:ascii="Arial" w:hAnsi="Arial" w:eastAsia="等线" w:cs="Arial"/>
          <w:b/>
        </w:rPr>
        <w:t>推动农业绿色可持续发展</w:t>
      </w:r>
      <w:r>
        <w:rPr>
          <w:rFonts w:ascii="Arial" w:hAnsi="Arial" w:eastAsia="等线" w:cs="Arial"/>
        </w:rPr>
        <w:t>：项目推广生态种植、循环农业技术，实现化肥农药减量30%，养殖废弃物资源化利用率90%以上，减少农业面源污染，保护俄罗斯黑土地资源，推动俄罗斯农业从传统种植向生态种植转型。</w:t>
      </w:r>
    </w:p>
    <w:p>
      <w:pPr>
        <w:numPr>
          <w:ilvl w:val="0"/>
          <w:numId w:val="132"/>
        </w:numPr>
        <w:spacing w:before="120" w:after="120" w:line="288" w:lineRule="auto"/>
        <w:rPr>
          <w:rFonts w:hint="eastAsia"/>
        </w:rPr>
      </w:pPr>
      <w:r>
        <w:rPr>
          <w:rFonts w:ascii="Arial" w:hAnsi="Arial" w:eastAsia="等线" w:cs="Arial"/>
          <w:b/>
        </w:rPr>
        <w:t>降低全产业链碳排放强度</w:t>
      </w:r>
      <w:r>
        <w:rPr>
          <w:rFonts w:ascii="Arial" w:hAnsi="Arial" w:eastAsia="等线" w:cs="Arial"/>
        </w:rPr>
        <w:t>：内河与海运单位货物周转量能耗较铁路运输降低40%以上，单位碳排放降低30%以上，项目满产后年可减少碳排放约120-150万吨；园区推广清洁能源与节能技术，单位产值能耗降低40%以上，具备显著的低碳效益。</w:t>
      </w:r>
    </w:p>
    <w:p>
      <w:pPr>
        <w:numPr>
          <w:ilvl w:val="0"/>
          <w:numId w:val="133"/>
        </w:numPr>
        <w:spacing w:before="120" w:after="120" w:line="288" w:lineRule="auto"/>
        <w:rPr>
          <w:rFonts w:hint="eastAsia"/>
        </w:rPr>
      </w:pPr>
      <w:r>
        <w:rPr>
          <w:rFonts w:ascii="Arial" w:hAnsi="Arial" w:eastAsia="等线" w:cs="Arial"/>
          <w:b/>
        </w:rPr>
        <w:t>保护区域生态环境</w:t>
      </w:r>
      <w:r>
        <w:rPr>
          <w:rFonts w:ascii="Arial" w:hAnsi="Arial" w:eastAsia="等线" w:cs="Arial"/>
        </w:rPr>
        <w:t>：项目严格遵循俄罗斯生态保护法规，配套完善的环保处理设施，园区环保设施达标率100%，无重大环境污染事件发生；通过建设生态隔离带、生态廊道，保护区域生物多样性，实现产业发展与生态保护协同共赢。</w:t>
      </w:r>
    </w:p>
    <w:p>
      <w:pPr>
        <w:numPr>
          <w:ilvl w:val="0"/>
          <w:numId w:val="134"/>
        </w:numPr>
        <w:spacing w:before="120" w:after="120" w:line="288" w:lineRule="auto"/>
        <w:rPr>
          <w:rFonts w:hint="eastAsia"/>
        </w:rPr>
      </w:pPr>
      <w:r>
        <w:rPr>
          <w:rFonts w:ascii="Arial" w:hAnsi="Arial" w:eastAsia="等线" w:cs="Arial"/>
          <w:b/>
        </w:rPr>
        <w:t>打造全球绿色农业合作典范</w:t>
      </w:r>
      <w:r>
        <w:rPr>
          <w:rFonts w:ascii="Arial" w:hAnsi="Arial" w:eastAsia="等线" w:cs="Arial"/>
        </w:rPr>
        <w:t>：项目构建跨境农业绿色发展模式，为全球海外农业投资项目提供“产业发展+生态保护”的可复制、可推广经验，推动全球农业可持续发展，为全球生态环境保护贡献中俄力量。</w:t>
      </w:r>
    </w:p>
    <w:p>
      <w:pPr>
        <w:spacing w:before="300" w:after="120" w:line="288" w:lineRule="auto"/>
        <w:outlineLvl w:val="2"/>
        <w:rPr>
          <w:rFonts w:hint="eastAsia"/>
        </w:rPr>
      </w:pPr>
      <w:bookmarkStart w:id="78" w:name="heading_78"/>
      <w:r>
        <w:rPr>
          <w:rFonts w:ascii="Arial" w:hAnsi="Arial" w:eastAsia="等线" w:cs="Arial"/>
          <w:b/>
          <w:sz w:val="30"/>
        </w:rPr>
        <w:t>（五）战略效益分析</w:t>
      </w:r>
      <w:bookmarkEnd w:id="78"/>
    </w:p>
    <w:p>
      <w:pPr>
        <w:numPr>
          <w:ilvl w:val="0"/>
          <w:numId w:val="135"/>
        </w:numPr>
        <w:spacing w:before="120" w:after="120" w:line="288" w:lineRule="auto"/>
        <w:rPr>
          <w:rFonts w:hint="eastAsia"/>
        </w:rPr>
      </w:pPr>
      <w:r>
        <w:rPr>
          <w:rFonts w:ascii="Arial" w:hAnsi="Arial" w:eastAsia="等线" w:cs="Arial"/>
          <w:b/>
        </w:rPr>
        <w:t>提升中国在全球粮食产业链中的话语权</w:t>
      </w:r>
      <w:r>
        <w:rPr>
          <w:rFonts w:ascii="Arial" w:hAnsi="Arial" w:eastAsia="等线" w:cs="Arial"/>
        </w:rPr>
        <w:t>：项目建成后，中国将直接掌控全球规模最大的海外耕地种植与粮食供应体系，打破国际粮商对全球粮食贸易的垄断，提升中国在全球粮食产业链、供应链中的定价权与话语权。</w:t>
      </w:r>
    </w:p>
    <w:p>
      <w:pPr>
        <w:numPr>
          <w:ilvl w:val="0"/>
          <w:numId w:val="136"/>
        </w:numPr>
        <w:spacing w:before="120" w:after="120" w:line="288" w:lineRule="auto"/>
        <w:rPr>
          <w:rFonts w:hint="eastAsia"/>
        </w:rPr>
      </w:pPr>
      <w:r>
        <w:rPr>
          <w:rFonts w:ascii="Arial" w:hAnsi="Arial" w:eastAsia="等线" w:cs="Arial"/>
          <w:b/>
        </w:rPr>
        <w:t>推动人民币国际化进程</w:t>
      </w:r>
      <w:r>
        <w:rPr>
          <w:rFonts w:ascii="Arial" w:hAnsi="Arial" w:eastAsia="等线" w:cs="Arial"/>
        </w:rPr>
        <w:t>：项目全产业链交易采用人民币计价结算，搭建中俄跨境人民币结算体系，推动中俄双边贸易本币结算规模扩大，助力人民币在东北亚、俄罗斯、北极地区的跨境使用，推动人民币国际化进程。</w:t>
      </w:r>
    </w:p>
    <w:p>
      <w:pPr>
        <w:numPr>
          <w:ilvl w:val="0"/>
          <w:numId w:val="137"/>
        </w:numPr>
        <w:spacing w:before="120" w:after="120" w:line="288" w:lineRule="auto"/>
        <w:rPr>
          <w:rFonts w:hint="eastAsia"/>
        </w:rPr>
      </w:pPr>
      <w:r>
        <w:rPr>
          <w:rFonts w:ascii="Arial" w:hAnsi="Arial" w:eastAsia="等线" w:cs="Arial"/>
          <w:b/>
        </w:rPr>
        <w:t>深化中国在北极开发中的参与度</w:t>
      </w:r>
      <w:r>
        <w:rPr>
          <w:rFonts w:ascii="Arial" w:hAnsi="Arial" w:eastAsia="等线" w:cs="Arial"/>
        </w:rPr>
        <w:t>：项目依托萨里哈尔德化工园区、北方海航道航运体系，深度参与俄罗斯北极开发，推动中俄在北极能源、航运、生态保护等领域的合作，提升中国在北极事务中的参与度与影响力。</w:t>
      </w:r>
    </w:p>
    <w:p>
      <w:pPr>
        <w:numPr>
          <w:ilvl w:val="0"/>
          <w:numId w:val="138"/>
        </w:numPr>
        <w:spacing w:before="120" w:after="120" w:line="288" w:lineRule="auto"/>
        <w:rPr>
          <w:rFonts w:hint="eastAsia"/>
        </w:rPr>
      </w:pPr>
      <w:r>
        <w:rPr>
          <w:rFonts w:ascii="Arial" w:hAnsi="Arial" w:eastAsia="等线" w:cs="Arial"/>
          <w:b/>
        </w:rPr>
        <w:t>打造中资企业抱团出海新模式</w:t>
      </w:r>
      <w:r>
        <w:rPr>
          <w:rFonts w:ascii="Arial" w:hAnsi="Arial" w:eastAsia="等线" w:cs="Arial"/>
        </w:rPr>
        <w:t>：项目以央企平台为依托，整合国内优势产业资源抱团出海，避免单一企业出海的无序竞争与风险，形成“央企搭台、企业唱戏、全链协同、风险共担”的成熟模式，为中国企业“走出去”提供可复制的标杆样板。</w:t>
      </w:r>
    </w:p>
    <w:p>
      <w:pPr>
        <w:spacing w:before="320" w:after="120" w:line="288" w:lineRule="auto"/>
        <w:outlineLvl w:val="1"/>
        <w:rPr>
          <w:rFonts w:hint="eastAsia"/>
        </w:rPr>
      </w:pPr>
      <w:bookmarkStart w:id="79" w:name="heading_79"/>
      <w:r>
        <w:rPr>
          <w:rFonts w:ascii="Arial" w:hAnsi="Arial" w:eastAsia="等线" w:cs="Arial"/>
          <w:b/>
          <w:sz w:val="32"/>
        </w:rPr>
        <w:t>九、风险防控体系</w:t>
      </w:r>
      <w:bookmarkEnd w:id="79"/>
    </w:p>
    <w:p>
      <w:pPr>
        <w:spacing w:before="300" w:after="120" w:line="288" w:lineRule="auto"/>
        <w:outlineLvl w:val="2"/>
        <w:rPr>
          <w:rFonts w:hint="eastAsia"/>
        </w:rPr>
      </w:pPr>
      <w:bookmarkStart w:id="80" w:name="heading_80"/>
      <w:r>
        <w:rPr>
          <w:rFonts w:ascii="Arial" w:hAnsi="Arial" w:eastAsia="等线" w:cs="Arial"/>
          <w:b/>
          <w:sz w:val="30"/>
        </w:rPr>
        <w:t>（一）核心风险识别与等级评估</w:t>
      </w:r>
      <w:bookmarkEnd w:id="80"/>
    </w:p>
    <w:p>
      <w:pPr>
        <w:spacing w:before="120" w:after="120" w:line="288" w:lineRule="auto"/>
        <w:rPr>
          <w:rFonts w:hint="eastAsia"/>
        </w:rPr>
      </w:pPr>
      <w:r>
        <w:rPr>
          <w:rFonts w:ascii="Arial" w:hAnsi="Arial" w:eastAsia="等线" w:cs="Arial"/>
        </w:rPr>
        <w:t>采用“可能性-影响程度”矩阵，对项目全周期核心风险开展识别与等级评估，具体如下：</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650"/>
        <w:gridCol w:w="1650"/>
        <w:gridCol w:w="1650"/>
        <w:gridCol w:w="1650"/>
        <w:gridCol w:w="1650"/>
      </w:tblGrid>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风险类别</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风险描述</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发生可能性</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影响程度</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风险等级</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政策风险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俄罗斯园区政策、关税、土地政策调整，中俄双边合作政策变动</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高</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中风险</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市场风险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农产品价格波动、国际粮价下行、市场需求变化</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中风险</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物流航运风险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北极冰情异常、内河枯水期通航能力不足、航道船闸通行受限、船队交付滞后</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中风险</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运营风险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本土化人才短缺、供应链不稳定、入园企业协同不足</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低风险</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安全环保风险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生产安全事故、污染物排放超标、北极生态保护政策收紧、船舶溢油事故</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高</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中风险</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跨境协作风险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中俄海关通关政策变动、口岸拥堵、人员往来审批收紧</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低风险</w:t>
            </w:r>
          </w:p>
        </w:tc>
      </w:tr>
      <w:tr>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资金风险</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融资成本上升、汇率波动、入园企业资金链断裂</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中</w:t>
            </w:r>
          </w:p>
        </w:tc>
        <w:tc>
          <w:tcPr>
            <w:tcW w:w="1650" w:type="dxa"/>
            <w:tcMar>
              <w:top w:w="60" w:type="dxa"/>
              <w:left w:w="120" w:type="dxa"/>
              <w:bottom w:w="30" w:type="dxa"/>
              <w:right w:w="120" w:type="dxa"/>
            </w:tcMar>
          </w:tcPr>
          <w:p>
            <w:pPr>
              <w:spacing w:before="120" w:after="120" w:line="288" w:lineRule="auto"/>
              <w:rPr>
                <w:rFonts w:hint="eastAsia"/>
              </w:rPr>
            </w:pPr>
            <w:r>
              <w:rPr>
                <w:rFonts w:ascii="Arial" w:hAnsi="Arial" w:eastAsia="等线" w:cs="Arial"/>
              </w:rPr>
              <w:t>低风险</w:t>
            </w:r>
          </w:p>
        </w:tc>
      </w:tr>
    </w:tbl>
    <w:p>
      <w:pPr>
        <w:spacing w:before="300" w:after="120" w:line="288" w:lineRule="auto"/>
        <w:outlineLvl w:val="2"/>
        <w:rPr>
          <w:rFonts w:hint="eastAsia"/>
        </w:rPr>
      </w:pPr>
      <w:bookmarkStart w:id="81" w:name="heading_81"/>
      <w:r>
        <w:rPr>
          <w:rFonts w:ascii="Arial" w:hAnsi="Arial" w:eastAsia="等线" w:cs="Arial"/>
          <w:b/>
          <w:sz w:val="30"/>
        </w:rPr>
        <w:t>（二）核心风险应对措施</w:t>
      </w:r>
      <w:bookmarkEnd w:id="81"/>
    </w:p>
    <w:p>
      <w:pPr>
        <w:spacing w:before="260" w:after="120" w:line="288" w:lineRule="auto"/>
        <w:outlineLvl w:val="3"/>
        <w:rPr>
          <w:rFonts w:hint="eastAsia"/>
        </w:rPr>
      </w:pPr>
      <w:bookmarkStart w:id="82" w:name="heading_82"/>
      <w:r>
        <w:rPr>
          <w:rFonts w:ascii="Arial" w:hAnsi="Arial" w:eastAsia="等线" w:cs="Arial"/>
          <w:b/>
          <w:sz w:val="28"/>
        </w:rPr>
        <w:t>1. 政策风险应对</w:t>
      </w:r>
      <w:bookmarkEnd w:id="82"/>
    </w:p>
    <w:p>
      <w:pPr>
        <w:numPr>
          <w:ilvl w:val="0"/>
          <w:numId w:val="139"/>
        </w:numPr>
        <w:spacing w:before="120" w:after="120" w:line="288" w:lineRule="auto"/>
        <w:rPr>
          <w:rFonts w:hint="eastAsia"/>
        </w:rPr>
      </w:pPr>
      <w:r>
        <w:rPr>
          <w:rFonts w:ascii="Arial" w:hAnsi="Arial" w:eastAsia="等线" w:cs="Arial"/>
        </w:rPr>
        <w:t>推动项目纳入中俄政府投资合作委员会重点项目清单，纳入中俄总理定期会晤联合公报成果，锁定15年政策稳定性；</w:t>
      </w:r>
    </w:p>
    <w:p>
      <w:pPr>
        <w:numPr>
          <w:ilvl w:val="0"/>
          <w:numId w:val="140"/>
        </w:numPr>
        <w:spacing w:before="120" w:after="120" w:line="288" w:lineRule="auto"/>
        <w:rPr>
          <w:rFonts w:hint="eastAsia"/>
        </w:rPr>
      </w:pPr>
      <w:r>
        <w:rPr>
          <w:rFonts w:ascii="Arial" w:hAnsi="Arial" w:eastAsia="等线" w:cs="Arial"/>
        </w:rPr>
        <w:t>依托中俄双边投资保护协定，建立政策变动预警机制，提前预判政策调整影响，以央企身份对接两国部委开展官方磋商；</w:t>
      </w:r>
    </w:p>
    <w:p>
      <w:pPr>
        <w:numPr>
          <w:ilvl w:val="0"/>
          <w:numId w:val="141"/>
        </w:numPr>
        <w:spacing w:before="120" w:after="120" w:line="288" w:lineRule="auto"/>
        <w:rPr>
          <w:rFonts w:hint="eastAsia"/>
        </w:rPr>
      </w:pPr>
      <w:r>
        <w:rPr>
          <w:rFonts w:ascii="Arial" w:hAnsi="Arial" w:eastAsia="等线" w:cs="Arial"/>
        </w:rPr>
        <w:t>三大园区严格按照俄罗斯境外经贸合作区标准建设，享受国际超前发展区、北极开发税收优惠与土地政策，最大化政策红利，降低政策变动影响。</w:t>
      </w:r>
    </w:p>
    <w:p>
      <w:pPr>
        <w:spacing w:before="260" w:after="120" w:line="288" w:lineRule="auto"/>
        <w:outlineLvl w:val="3"/>
        <w:rPr>
          <w:rFonts w:hint="eastAsia"/>
        </w:rPr>
      </w:pPr>
      <w:bookmarkStart w:id="83" w:name="heading_83"/>
      <w:r>
        <w:rPr>
          <w:rFonts w:ascii="Arial" w:hAnsi="Arial" w:eastAsia="等线" w:cs="Arial"/>
          <w:b/>
          <w:sz w:val="28"/>
        </w:rPr>
        <w:t>2. 市场风险应对</w:t>
      </w:r>
      <w:bookmarkEnd w:id="83"/>
    </w:p>
    <w:p>
      <w:pPr>
        <w:numPr>
          <w:ilvl w:val="0"/>
          <w:numId w:val="142"/>
        </w:numPr>
        <w:spacing w:before="120" w:after="120" w:line="288" w:lineRule="auto"/>
        <w:rPr>
          <w:rFonts w:hint="eastAsia"/>
        </w:rPr>
      </w:pPr>
      <w:r>
        <w:rPr>
          <w:rFonts w:ascii="Arial" w:hAnsi="Arial" w:eastAsia="等线" w:cs="Arial"/>
        </w:rPr>
        <w:t>与国内中粮、中储粮等大型粮食企业签订长期供销协议，锁量锁价，规避粮食价格波动风险；</w:t>
      </w:r>
    </w:p>
    <w:p>
      <w:pPr>
        <w:numPr>
          <w:ilvl w:val="0"/>
          <w:numId w:val="143"/>
        </w:numPr>
        <w:spacing w:before="120" w:after="120" w:line="288" w:lineRule="auto"/>
        <w:rPr>
          <w:rFonts w:hint="eastAsia"/>
        </w:rPr>
      </w:pPr>
      <w:r>
        <w:rPr>
          <w:rFonts w:ascii="Arial" w:hAnsi="Arial" w:eastAsia="等线" w:cs="Arial"/>
        </w:rPr>
        <w:t>牵头成立专属农业保险公司，覆盖市场价格波动风险，为种植企业提供价格保险；</w:t>
      </w:r>
    </w:p>
    <w:p>
      <w:pPr>
        <w:numPr>
          <w:ilvl w:val="0"/>
          <w:numId w:val="144"/>
        </w:numPr>
        <w:spacing w:before="120" w:after="120" w:line="288" w:lineRule="auto"/>
        <w:rPr>
          <w:rFonts w:hint="eastAsia"/>
        </w:rPr>
      </w:pPr>
      <w:r>
        <w:rPr>
          <w:rFonts w:ascii="Arial" w:hAnsi="Arial" w:eastAsia="等线" w:cs="Arial"/>
        </w:rPr>
        <w:t>拓展东南亚、欧洲、东北亚多元化国际市场，降低对单一市场的依赖度；</w:t>
      </w:r>
    </w:p>
    <w:p>
      <w:pPr>
        <w:numPr>
          <w:ilvl w:val="0"/>
          <w:numId w:val="145"/>
        </w:numPr>
        <w:spacing w:before="120" w:after="120" w:line="288" w:lineRule="auto"/>
        <w:rPr>
          <w:rFonts w:hint="eastAsia"/>
        </w:rPr>
      </w:pPr>
      <w:r>
        <w:rPr>
          <w:rFonts w:ascii="Arial" w:hAnsi="Arial" w:eastAsia="等线" w:cs="Arial"/>
        </w:rPr>
        <w:t>延伸农产品深加工产业链，提升产品附加值，对冲初级农产品价格波动风险。</w:t>
      </w:r>
    </w:p>
    <w:p>
      <w:pPr>
        <w:spacing w:before="260" w:after="120" w:line="288" w:lineRule="auto"/>
        <w:outlineLvl w:val="3"/>
        <w:rPr>
          <w:rFonts w:hint="eastAsia"/>
        </w:rPr>
      </w:pPr>
      <w:bookmarkStart w:id="84" w:name="heading_84"/>
      <w:r>
        <w:rPr>
          <w:rFonts w:ascii="Arial" w:hAnsi="Arial" w:eastAsia="等线" w:cs="Arial"/>
          <w:b/>
          <w:sz w:val="28"/>
        </w:rPr>
        <w:t>3. 物流航运风险应对</w:t>
      </w:r>
      <w:bookmarkEnd w:id="84"/>
    </w:p>
    <w:p>
      <w:pPr>
        <w:numPr>
          <w:ilvl w:val="0"/>
          <w:numId w:val="146"/>
        </w:numPr>
        <w:spacing w:before="120" w:after="120" w:line="288" w:lineRule="auto"/>
        <w:rPr>
          <w:rFonts w:hint="eastAsia"/>
        </w:rPr>
      </w:pPr>
      <w:r>
        <w:rPr>
          <w:rFonts w:ascii="Arial" w:hAnsi="Arial" w:eastAsia="等线" w:cs="Arial"/>
        </w:rPr>
        <w:t>配置Arc7级重型冰区散货船，与俄罗斯原子能集团签订长期破冰服务协议，锁定破冰资源与服务价格，保障北极航道通航稳定性；</w:t>
      </w:r>
    </w:p>
    <w:p>
      <w:pPr>
        <w:numPr>
          <w:ilvl w:val="0"/>
          <w:numId w:val="147"/>
        </w:numPr>
        <w:spacing w:before="120" w:after="120" w:line="288" w:lineRule="auto"/>
        <w:rPr>
          <w:rFonts w:hint="eastAsia"/>
        </w:rPr>
      </w:pPr>
      <w:r>
        <w:rPr>
          <w:rFonts w:ascii="Arial" w:hAnsi="Arial" w:eastAsia="等线" w:cs="Arial"/>
        </w:rPr>
        <w:t>建立常态化航道疏浚与浅滩整治机制，枯水期采用减载驳船运营，优化船舶调度，降低枯水期影响；</w:t>
      </w:r>
    </w:p>
    <w:p>
      <w:pPr>
        <w:numPr>
          <w:ilvl w:val="0"/>
          <w:numId w:val="148"/>
        </w:numPr>
        <w:spacing w:before="120" w:after="120" w:line="288" w:lineRule="auto"/>
        <w:rPr>
          <w:rFonts w:hint="eastAsia"/>
        </w:rPr>
      </w:pPr>
      <w:r>
        <w:rPr>
          <w:rFonts w:ascii="Arial" w:hAnsi="Arial" w:eastAsia="等线" w:cs="Arial"/>
        </w:rPr>
        <w:t>采用接力式物流模式，拆分航段降低船闸通行压力，提前与船闸管理部门签订长期通行协议，锁定通行配额；</w:t>
      </w:r>
    </w:p>
    <w:p>
      <w:pPr>
        <w:numPr>
          <w:ilvl w:val="0"/>
          <w:numId w:val="149"/>
        </w:numPr>
        <w:spacing w:before="120" w:after="120" w:line="288" w:lineRule="auto"/>
        <w:rPr>
          <w:rFonts w:hint="eastAsia"/>
        </w:rPr>
      </w:pPr>
      <w:r>
        <w:rPr>
          <w:rFonts w:ascii="Arial" w:hAnsi="Arial" w:eastAsia="等线" w:cs="Arial"/>
        </w:rPr>
        <w:t>提前2-3年启动船舶设计与订购，与中俄造船基地签订长期建造合同，锁定交付周期与价格，同步配套船舶租赁与二手船购置方案，缓解船队短期短缺问题；</w:t>
      </w:r>
    </w:p>
    <w:p>
      <w:pPr>
        <w:numPr>
          <w:ilvl w:val="0"/>
          <w:numId w:val="150"/>
        </w:numPr>
        <w:spacing w:before="120" w:after="120" w:line="288" w:lineRule="auto"/>
        <w:rPr>
          <w:rFonts w:hint="eastAsia"/>
        </w:rPr>
      </w:pPr>
      <w:r>
        <w:rPr>
          <w:rFonts w:ascii="Arial" w:hAnsi="Arial" w:eastAsia="等线" w:cs="Arial"/>
        </w:rPr>
        <w:t>与俄铁签订长期运力保障协议，内河封冻期、北极航道受阻时，全部货物转由铁路运输兜底，实现全年运力均衡。</w:t>
      </w:r>
    </w:p>
    <w:p>
      <w:pPr>
        <w:spacing w:before="260" w:after="120" w:line="288" w:lineRule="auto"/>
        <w:outlineLvl w:val="3"/>
        <w:rPr>
          <w:rFonts w:hint="eastAsia"/>
        </w:rPr>
      </w:pPr>
      <w:bookmarkStart w:id="85" w:name="heading_85"/>
      <w:r>
        <w:rPr>
          <w:rFonts w:ascii="Arial" w:hAnsi="Arial" w:eastAsia="等线" w:cs="Arial"/>
          <w:b/>
          <w:sz w:val="28"/>
        </w:rPr>
        <w:t>4. 安全环保风险应对</w:t>
      </w:r>
      <w:bookmarkEnd w:id="85"/>
    </w:p>
    <w:p>
      <w:pPr>
        <w:numPr>
          <w:ilvl w:val="0"/>
          <w:numId w:val="151"/>
        </w:numPr>
        <w:spacing w:before="120" w:after="120" w:line="288" w:lineRule="auto"/>
        <w:rPr>
          <w:rFonts w:hint="eastAsia"/>
        </w:rPr>
      </w:pPr>
      <w:r>
        <w:rPr>
          <w:rFonts w:ascii="Arial" w:hAnsi="Arial" w:eastAsia="等线" w:cs="Arial"/>
        </w:rPr>
        <w:t>建立“央企统筹、园区监管、企业主体”的安全环保责任体系，制定专项操作规程与应急预案，定期开展安全环保检查与应急演练；</w:t>
      </w:r>
    </w:p>
    <w:p>
      <w:pPr>
        <w:numPr>
          <w:ilvl w:val="0"/>
          <w:numId w:val="152"/>
        </w:numPr>
        <w:spacing w:before="120" w:after="120" w:line="288" w:lineRule="auto"/>
        <w:rPr>
          <w:rFonts w:hint="eastAsia"/>
        </w:rPr>
      </w:pPr>
      <w:r>
        <w:rPr>
          <w:rFonts w:ascii="Arial" w:hAnsi="Arial" w:eastAsia="等线" w:cs="Arial"/>
        </w:rPr>
        <w:t>园区配套完善的环保处理设施，实现污染物达标排放，化工园区、核心港口配备应急事故池与溢油处置设备，制定专项环境应急预案；</w:t>
      </w:r>
    </w:p>
    <w:p>
      <w:pPr>
        <w:numPr>
          <w:ilvl w:val="0"/>
          <w:numId w:val="153"/>
        </w:numPr>
        <w:spacing w:before="120" w:after="120" w:line="288" w:lineRule="auto"/>
        <w:rPr>
          <w:rFonts w:hint="eastAsia"/>
        </w:rPr>
      </w:pPr>
      <w:r>
        <w:rPr>
          <w:rFonts w:ascii="Arial" w:hAnsi="Arial" w:eastAsia="等线" w:cs="Arial"/>
        </w:rPr>
        <w:t>严格遵循俄罗斯北极生态保护法规，北极航段船舶航行严格遵守环保规范，建立中俄跨境环境应急联动机制；</w:t>
      </w:r>
    </w:p>
    <w:p>
      <w:pPr>
        <w:numPr>
          <w:ilvl w:val="0"/>
          <w:numId w:val="154"/>
        </w:numPr>
        <w:spacing w:before="120" w:after="120" w:line="288" w:lineRule="auto"/>
        <w:rPr>
          <w:rFonts w:hint="eastAsia"/>
        </w:rPr>
      </w:pPr>
      <w:r>
        <w:rPr>
          <w:rFonts w:ascii="Arial" w:hAnsi="Arial" w:eastAsia="等线" w:cs="Arial"/>
        </w:rPr>
        <w:t>为所有生产设施、船舶、园区购买安全生产与环境污染责任险，降低事故损失。</w:t>
      </w:r>
    </w:p>
    <w:p>
      <w:pPr>
        <w:spacing w:before="260" w:after="120" w:line="288" w:lineRule="auto"/>
        <w:outlineLvl w:val="3"/>
        <w:rPr>
          <w:rFonts w:hint="eastAsia"/>
        </w:rPr>
      </w:pPr>
      <w:bookmarkStart w:id="86" w:name="heading_86"/>
      <w:r>
        <w:rPr>
          <w:rFonts w:ascii="Arial" w:hAnsi="Arial" w:eastAsia="等线" w:cs="Arial"/>
          <w:b/>
          <w:sz w:val="28"/>
        </w:rPr>
        <w:t>5. 其他风险应对</w:t>
      </w:r>
      <w:bookmarkEnd w:id="86"/>
    </w:p>
    <w:p>
      <w:pPr>
        <w:numPr>
          <w:ilvl w:val="0"/>
          <w:numId w:val="155"/>
        </w:numPr>
        <w:spacing w:before="120" w:after="120" w:line="288" w:lineRule="auto"/>
        <w:rPr>
          <w:rFonts w:hint="eastAsia"/>
        </w:rPr>
      </w:pPr>
      <w:r>
        <w:rPr>
          <w:rFonts w:ascii="Arial" w:hAnsi="Arial" w:eastAsia="等线" w:cs="Arial"/>
        </w:rPr>
        <w:t>针对运营风险：与中俄航海院校、农业院校建立长期人才培养合作机制，提前开展人才招聘与培训，配套有竞争力的薪酬体系，保障人才供给；培育多家本土化供应商，建立核心物资应急储备库，保障供应链稳定；建立产业协同激励机制，推动入园企业上下游协同合作。</w:t>
      </w:r>
    </w:p>
    <w:p>
      <w:pPr>
        <w:numPr>
          <w:ilvl w:val="0"/>
          <w:numId w:val="156"/>
        </w:numPr>
        <w:spacing w:before="120" w:after="120" w:line="288" w:lineRule="auto"/>
        <w:rPr>
          <w:rFonts w:hint="eastAsia"/>
        </w:rPr>
      </w:pPr>
      <w:r>
        <w:rPr>
          <w:rFonts w:ascii="Arial" w:hAnsi="Arial" w:eastAsia="等线" w:cs="Arial"/>
        </w:rPr>
        <w:t>针对跨境协作风险：推动中俄海关建立“一次申报、一次查验、一次放行”通关模式，搭建中俄海关数据共享平台，提升通关效率；建立中俄界河联合通航调度机制，纳入中俄总理会晤交通合作议题，保障界河通航稳定；推动中俄出入境管理部门简化人员往来审批手续，实现人员跨境便利化通行。</w:t>
      </w:r>
    </w:p>
    <w:p>
      <w:pPr>
        <w:numPr>
          <w:ilvl w:val="0"/>
          <w:numId w:val="157"/>
        </w:numPr>
        <w:spacing w:before="120" w:after="120" w:line="288" w:lineRule="auto"/>
        <w:rPr>
          <w:rFonts w:hint="eastAsia"/>
        </w:rPr>
      </w:pPr>
      <w:r>
        <w:rPr>
          <w:rFonts w:ascii="Arial" w:hAnsi="Arial" w:eastAsia="等线" w:cs="Arial"/>
        </w:rPr>
        <w:t>针对资金风险：优化融资结构，以长期低息政策性贷款为主，锁定融资成本；全交易流程采用人民币计价结算，配套外汇对冲工具，规避汇率波动风险；设立园区产业发展基金，为入园企业提供融资增信与流动资金支持，降低企业资金链断裂风险。</w:t>
      </w:r>
    </w:p>
    <w:p>
      <w:pPr>
        <w:spacing w:before="300" w:after="120" w:line="288" w:lineRule="auto"/>
        <w:outlineLvl w:val="2"/>
        <w:rPr>
          <w:rFonts w:hint="eastAsia"/>
        </w:rPr>
      </w:pPr>
      <w:bookmarkStart w:id="87" w:name="heading_87"/>
      <w:r>
        <w:rPr>
          <w:rFonts w:ascii="Arial" w:hAnsi="Arial" w:eastAsia="等线" w:cs="Arial"/>
          <w:b/>
          <w:sz w:val="30"/>
        </w:rPr>
        <w:t>（三）全周期风险管控机制</w:t>
      </w:r>
      <w:bookmarkEnd w:id="87"/>
    </w:p>
    <w:p>
      <w:pPr>
        <w:numPr>
          <w:ilvl w:val="0"/>
          <w:numId w:val="158"/>
        </w:numPr>
        <w:spacing w:before="120" w:after="120" w:line="288" w:lineRule="auto"/>
        <w:rPr>
          <w:rFonts w:hint="eastAsia"/>
        </w:rPr>
      </w:pPr>
      <w:r>
        <w:rPr>
          <w:rFonts w:ascii="Arial" w:hAnsi="Arial" w:eastAsia="等线" w:cs="Arial"/>
          <w:b/>
        </w:rPr>
        <w:t>全流程风险防控体系</w:t>
      </w:r>
      <w:r>
        <w:rPr>
          <w:rFonts w:ascii="Arial" w:hAnsi="Arial" w:eastAsia="等线" w:cs="Arial"/>
        </w:rPr>
        <w:t>：建立“事前预警、事中管控、事后处置”的全流程风险防控体系，成立风险管控中心，由中海外集团风控部牵头，黑土农业及下属子公司分级落实，实现风险早发现、早预警、早处置。</w:t>
      </w:r>
    </w:p>
    <w:p>
      <w:pPr>
        <w:numPr>
          <w:ilvl w:val="0"/>
          <w:numId w:val="159"/>
        </w:numPr>
        <w:spacing w:before="120" w:after="120" w:line="288" w:lineRule="auto"/>
        <w:rPr>
          <w:rFonts w:hint="eastAsia"/>
        </w:rPr>
      </w:pPr>
      <w:r>
        <w:rPr>
          <w:rFonts w:ascii="Arial" w:hAnsi="Arial" w:eastAsia="等线" w:cs="Arial"/>
          <w:b/>
        </w:rPr>
        <w:t>动态风险监测机制</w:t>
      </w:r>
      <w:r>
        <w:rPr>
          <w:rFonts w:ascii="Arial" w:hAnsi="Arial" w:eastAsia="等线" w:cs="Arial"/>
        </w:rPr>
        <w:t>：搭建风险智能监测平台，对政策、市场、物流、安全环保等核心风险指标实时监测，定期开展风险评估与复盘，动态调整风险应对措施。</w:t>
      </w:r>
    </w:p>
    <w:p>
      <w:pPr>
        <w:numPr>
          <w:ilvl w:val="0"/>
          <w:numId w:val="160"/>
        </w:numPr>
        <w:spacing w:before="120" w:after="120" w:line="288" w:lineRule="auto"/>
        <w:rPr>
          <w:rFonts w:hint="eastAsia"/>
        </w:rPr>
      </w:pPr>
      <w:r>
        <w:rPr>
          <w:rFonts w:ascii="Arial" w:hAnsi="Arial" w:eastAsia="等线" w:cs="Arial"/>
          <w:b/>
        </w:rPr>
        <w:t>专项应急预案</w:t>
      </w:r>
      <w:r>
        <w:rPr>
          <w:rFonts w:ascii="Arial" w:hAnsi="Arial" w:eastAsia="等线" w:cs="Arial"/>
        </w:rPr>
        <w:t>：针对重大政策变动、极端冰情、重大安全环保事故、物流通道中断等极端情况，制定专项应急预案，明确应急处置流程、责任分工、保障措施，每年开展不少于2次联合应急演练。</w:t>
      </w:r>
    </w:p>
    <w:p>
      <w:pPr>
        <w:numPr>
          <w:ilvl w:val="0"/>
          <w:numId w:val="161"/>
        </w:numPr>
        <w:spacing w:before="120" w:after="120" w:line="288" w:lineRule="auto"/>
        <w:rPr>
          <w:rFonts w:hint="eastAsia"/>
        </w:rPr>
      </w:pPr>
      <w:r>
        <w:rPr>
          <w:rFonts w:ascii="Arial" w:hAnsi="Arial" w:eastAsia="等线" w:cs="Arial"/>
          <w:b/>
        </w:rPr>
        <w:t>中俄联合风险处置机制</w:t>
      </w:r>
      <w:r>
        <w:rPr>
          <w:rFonts w:ascii="Arial" w:hAnsi="Arial" w:eastAsia="等线" w:cs="Arial"/>
        </w:rPr>
        <w:t>：与俄罗斯当地政府、应急部门、海关、航运管理部门建立联合风险处置机制，针对跨境风险事件开展协同处置，提升风险应对能力。</w:t>
      </w:r>
    </w:p>
    <w:p>
      <w:pPr>
        <w:spacing w:before="320" w:after="120" w:line="288" w:lineRule="auto"/>
        <w:outlineLvl w:val="1"/>
        <w:rPr>
          <w:rFonts w:hint="eastAsia"/>
        </w:rPr>
      </w:pPr>
      <w:bookmarkStart w:id="88" w:name="heading_88"/>
      <w:r>
        <w:rPr>
          <w:rFonts w:ascii="Arial" w:hAnsi="Arial" w:eastAsia="等线" w:cs="Arial"/>
          <w:b/>
          <w:sz w:val="32"/>
        </w:rPr>
        <w:t>十、实施计划与保障措施</w:t>
      </w:r>
      <w:bookmarkEnd w:id="88"/>
    </w:p>
    <w:p>
      <w:pPr>
        <w:spacing w:before="300" w:after="120" w:line="288" w:lineRule="auto"/>
        <w:outlineLvl w:val="2"/>
        <w:rPr>
          <w:rFonts w:hint="eastAsia"/>
        </w:rPr>
      </w:pPr>
      <w:bookmarkStart w:id="89" w:name="heading_89"/>
      <w:r>
        <w:rPr>
          <w:rFonts w:ascii="Arial" w:hAnsi="Arial" w:eastAsia="等线" w:cs="Arial"/>
          <w:b/>
          <w:sz w:val="30"/>
        </w:rPr>
        <w:t>（一）分阶段实施计划</w:t>
      </w:r>
      <w:bookmarkEnd w:id="89"/>
    </w:p>
    <w:p>
      <w:pPr>
        <w:spacing w:before="260" w:after="120" w:line="288" w:lineRule="auto"/>
        <w:outlineLvl w:val="3"/>
        <w:rPr>
          <w:rFonts w:hint="eastAsia"/>
        </w:rPr>
      </w:pPr>
      <w:bookmarkStart w:id="90" w:name="heading_90"/>
      <w:r>
        <w:rPr>
          <w:rFonts w:ascii="Arial" w:hAnsi="Arial" w:eastAsia="等线" w:cs="Arial"/>
          <w:b/>
          <w:sz w:val="28"/>
        </w:rPr>
        <w:t>第一阶段：启动建设期（2027-2030年）</w:t>
      </w:r>
      <w:bookmarkEnd w:id="90"/>
    </w:p>
    <w:p>
      <w:pPr>
        <w:numPr>
          <w:ilvl w:val="0"/>
          <w:numId w:val="162"/>
        </w:numPr>
        <w:spacing w:before="120" w:after="120" w:line="288" w:lineRule="auto"/>
        <w:rPr>
          <w:rFonts w:hint="eastAsia"/>
        </w:rPr>
      </w:pPr>
      <w:r>
        <w:rPr>
          <w:rFonts w:ascii="Arial" w:hAnsi="Arial" w:eastAsia="等线" w:cs="Arial"/>
        </w:rPr>
        <w:t>2027年内完成耕地及五大板块建设用地权属确权，办理项目备案、园区规划审批、海关保税区备案等合规手续；</w:t>
      </w:r>
    </w:p>
    <w:p>
      <w:pPr>
        <w:numPr>
          <w:ilvl w:val="0"/>
          <w:numId w:val="163"/>
        </w:numPr>
        <w:spacing w:before="120" w:after="120" w:line="288" w:lineRule="auto"/>
        <w:rPr>
          <w:rFonts w:hint="eastAsia"/>
        </w:rPr>
      </w:pPr>
      <w:r>
        <w:rPr>
          <w:rFonts w:ascii="Arial" w:hAnsi="Arial" w:eastAsia="等线" w:cs="Arial"/>
        </w:rPr>
        <w:t>2027年内完成项目详细规划编制评审，确定各板块建设方案，完成项目公司组建与资金筹措；</w:t>
      </w:r>
    </w:p>
    <w:p>
      <w:pPr>
        <w:numPr>
          <w:ilvl w:val="0"/>
          <w:numId w:val="164"/>
        </w:numPr>
        <w:spacing w:before="120" w:after="120" w:line="288" w:lineRule="auto"/>
        <w:rPr>
          <w:rFonts w:hint="eastAsia"/>
        </w:rPr>
      </w:pPr>
      <w:r>
        <w:rPr>
          <w:rFonts w:ascii="Arial" w:hAnsi="Arial" w:eastAsia="等线" w:cs="Arial"/>
        </w:rPr>
        <w:t>2028年内启动三大核心园区样板段建设，完成双物流通道试点工程、虎列铁路核心段建设，启动船舶设计与订购；</w:t>
      </w:r>
    </w:p>
    <w:p>
      <w:pPr>
        <w:numPr>
          <w:ilvl w:val="0"/>
          <w:numId w:val="165"/>
        </w:numPr>
        <w:spacing w:before="120" w:after="120" w:line="288" w:lineRule="auto"/>
        <w:rPr>
          <w:rFonts w:hint="eastAsia"/>
        </w:rPr>
      </w:pPr>
      <w:r>
        <w:rPr>
          <w:rFonts w:ascii="Arial" w:hAnsi="Arial" w:eastAsia="等线" w:cs="Arial"/>
        </w:rPr>
        <w:t>2029年内完成首批56家核心企业入园签约，启动试点种植面积8000万亩，完成境内结算平台、智能管控中枢建设；</w:t>
      </w:r>
    </w:p>
    <w:p>
      <w:pPr>
        <w:numPr>
          <w:ilvl w:val="0"/>
          <w:numId w:val="166"/>
        </w:numPr>
        <w:spacing w:before="120" w:after="120" w:line="288" w:lineRule="auto"/>
        <w:rPr>
          <w:rFonts w:hint="eastAsia"/>
        </w:rPr>
      </w:pPr>
      <w:r>
        <w:rPr>
          <w:rFonts w:ascii="Arial" w:hAnsi="Arial" w:eastAsia="等线" w:cs="Arial"/>
        </w:rPr>
        <w:t>2030年内完成试点工程建设，三大园区通过境外经贸合作区确认初审，航运体系试点运力550万吨/年，实现试点产能全面释放，完成阶段性投资607亿元。</w:t>
      </w:r>
    </w:p>
    <w:p>
      <w:pPr>
        <w:spacing w:before="260" w:after="120" w:line="288" w:lineRule="auto"/>
        <w:outlineLvl w:val="3"/>
        <w:rPr>
          <w:rFonts w:hint="eastAsia"/>
        </w:rPr>
      </w:pPr>
      <w:bookmarkStart w:id="91" w:name="heading_91"/>
      <w:r>
        <w:rPr>
          <w:rFonts w:ascii="Arial" w:hAnsi="Arial" w:eastAsia="等线" w:cs="Arial"/>
          <w:b/>
          <w:sz w:val="28"/>
        </w:rPr>
        <w:t>第二阶段：扩能提效期（2031-2033年）</w:t>
      </w:r>
      <w:bookmarkEnd w:id="91"/>
    </w:p>
    <w:p>
      <w:pPr>
        <w:numPr>
          <w:ilvl w:val="0"/>
          <w:numId w:val="167"/>
        </w:numPr>
        <w:spacing w:before="120" w:after="120" w:line="288" w:lineRule="auto"/>
        <w:rPr>
          <w:rFonts w:hint="eastAsia"/>
        </w:rPr>
      </w:pPr>
      <w:r>
        <w:rPr>
          <w:rFonts w:ascii="Arial" w:hAnsi="Arial" w:eastAsia="等线" w:cs="Arial"/>
        </w:rPr>
        <w:t>2031年内完成三大园区核心厂房、生产线建设，四大内河走廊核心港口与集散节点建设，实现规模化种植面积2亿亩；</w:t>
      </w:r>
    </w:p>
    <w:p>
      <w:pPr>
        <w:numPr>
          <w:ilvl w:val="0"/>
          <w:numId w:val="168"/>
        </w:numPr>
        <w:spacing w:before="120" w:after="120" w:line="288" w:lineRule="auto"/>
        <w:rPr>
          <w:rFonts w:hint="eastAsia"/>
        </w:rPr>
      </w:pPr>
      <w:r>
        <w:rPr>
          <w:rFonts w:ascii="Arial" w:hAnsi="Arial" w:eastAsia="等线" w:cs="Arial"/>
        </w:rPr>
        <w:t>2032年内完成虎列铁路全线建设通车，航运体系总运力达1700万吨/年，全链条原料本土化供应率达100%；</w:t>
      </w:r>
    </w:p>
    <w:p>
      <w:pPr>
        <w:numPr>
          <w:ilvl w:val="0"/>
          <w:numId w:val="169"/>
        </w:numPr>
        <w:spacing w:before="120" w:after="120" w:line="288" w:lineRule="auto"/>
        <w:rPr>
          <w:rFonts w:hint="eastAsia"/>
        </w:rPr>
      </w:pPr>
      <w:r>
        <w:rPr>
          <w:rFonts w:ascii="Arial" w:hAnsi="Arial" w:eastAsia="等线" w:cs="Arial"/>
        </w:rPr>
        <w:t>2033年内完成五大板块核心建设内容，三大园区通过境外经贸合作区年度考核，入园企业超120家，年总产值达5259亿元，完成累计投资1416亿元。</w:t>
      </w:r>
    </w:p>
    <w:p>
      <w:pPr>
        <w:spacing w:before="260" w:after="120" w:line="288" w:lineRule="auto"/>
        <w:outlineLvl w:val="3"/>
        <w:rPr>
          <w:rFonts w:hint="eastAsia"/>
        </w:rPr>
      </w:pPr>
      <w:bookmarkStart w:id="92" w:name="heading_92"/>
      <w:r>
        <w:rPr>
          <w:rFonts w:ascii="Arial" w:hAnsi="Arial" w:eastAsia="等线" w:cs="Arial"/>
          <w:b/>
          <w:sz w:val="28"/>
        </w:rPr>
        <w:t>第三阶段：全面达产期（2034-2036年）</w:t>
      </w:r>
      <w:bookmarkEnd w:id="92"/>
    </w:p>
    <w:p>
      <w:pPr>
        <w:numPr>
          <w:ilvl w:val="0"/>
          <w:numId w:val="170"/>
        </w:numPr>
        <w:spacing w:before="120" w:after="120" w:line="288" w:lineRule="auto"/>
        <w:rPr>
          <w:rFonts w:hint="eastAsia"/>
        </w:rPr>
      </w:pPr>
      <w:r>
        <w:rPr>
          <w:rFonts w:ascii="Arial" w:hAnsi="Arial" w:eastAsia="等线" w:cs="Arial"/>
        </w:rPr>
        <w:t>2034-2035年完成产业链优化升级，配套设施全面完善，智能化体系全面落地，耕地全面投产；</w:t>
      </w:r>
    </w:p>
    <w:p>
      <w:pPr>
        <w:numPr>
          <w:ilvl w:val="0"/>
          <w:numId w:val="171"/>
        </w:numPr>
        <w:spacing w:before="120" w:after="120" w:line="288" w:lineRule="auto"/>
        <w:rPr>
          <w:rFonts w:hint="eastAsia"/>
        </w:rPr>
      </w:pPr>
      <w:r>
        <w:rPr>
          <w:rFonts w:ascii="Arial" w:hAnsi="Arial" w:eastAsia="等线" w:cs="Arial"/>
        </w:rPr>
        <w:t>2036年实现航运体系总运力2700万吨/年，全产业链年度市场规模突破10460亿元，全面达成规划期末各项发展目标；</w:t>
      </w:r>
    </w:p>
    <w:p>
      <w:pPr>
        <w:numPr>
          <w:ilvl w:val="0"/>
          <w:numId w:val="172"/>
        </w:numPr>
        <w:spacing w:before="120" w:after="120" w:line="288" w:lineRule="auto"/>
        <w:rPr>
          <w:rFonts w:hint="eastAsia"/>
        </w:rPr>
      </w:pPr>
      <w:r>
        <w:rPr>
          <w:rFonts w:ascii="Arial" w:hAnsi="Arial" w:eastAsia="等线" w:cs="Arial"/>
        </w:rPr>
        <w:t>2036年内完成项目竣工验收，通过国家级境外经贸合作区最终考核，成为中俄农业全产业链合作标杆项目，完成累计总投资2023亿元。</w:t>
      </w:r>
    </w:p>
    <w:p>
      <w:pPr>
        <w:spacing w:before="300" w:after="120" w:line="288" w:lineRule="auto"/>
        <w:outlineLvl w:val="2"/>
        <w:rPr>
          <w:rFonts w:hint="eastAsia"/>
        </w:rPr>
      </w:pPr>
      <w:bookmarkStart w:id="93" w:name="heading_93"/>
      <w:r>
        <w:rPr>
          <w:rFonts w:ascii="Arial" w:hAnsi="Arial" w:eastAsia="等线" w:cs="Arial"/>
          <w:b/>
          <w:sz w:val="30"/>
        </w:rPr>
        <w:t>（二）实施保障措施</w:t>
      </w:r>
      <w:bookmarkEnd w:id="93"/>
    </w:p>
    <w:p>
      <w:pPr>
        <w:spacing w:before="260" w:after="120" w:line="288" w:lineRule="auto"/>
        <w:outlineLvl w:val="3"/>
        <w:rPr>
          <w:rFonts w:hint="eastAsia"/>
        </w:rPr>
      </w:pPr>
      <w:bookmarkStart w:id="94" w:name="heading_94"/>
      <w:r>
        <w:rPr>
          <w:rFonts w:ascii="Arial" w:hAnsi="Arial" w:eastAsia="等线" w:cs="Arial"/>
          <w:b/>
          <w:sz w:val="28"/>
        </w:rPr>
        <w:t>1. 政策保障</w:t>
      </w:r>
      <w:bookmarkEnd w:id="94"/>
    </w:p>
    <w:p>
      <w:pPr>
        <w:numPr>
          <w:ilvl w:val="0"/>
          <w:numId w:val="173"/>
        </w:numPr>
        <w:spacing w:before="120" w:after="120" w:line="288" w:lineRule="auto"/>
        <w:rPr>
          <w:rFonts w:hint="eastAsia"/>
        </w:rPr>
      </w:pPr>
      <w:r>
        <w:rPr>
          <w:rFonts w:ascii="Arial" w:hAnsi="Arial" w:eastAsia="等线" w:cs="Arial"/>
        </w:rPr>
        <w:t>推动项目纳入中俄政府投资合作委员会重点项目清单，纳入中俄总理定期会晤联合公报，争取中俄两国最高级别政策支持；</w:t>
      </w:r>
    </w:p>
    <w:p>
      <w:pPr>
        <w:numPr>
          <w:ilvl w:val="0"/>
          <w:numId w:val="174"/>
        </w:numPr>
        <w:spacing w:before="120" w:after="120" w:line="288" w:lineRule="auto"/>
        <w:rPr>
          <w:rFonts w:hint="eastAsia"/>
        </w:rPr>
      </w:pPr>
      <w:r>
        <w:rPr>
          <w:rFonts w:ascii="Arial" w:hAnsi="Arial" w:eastAsia="等线" w:cs="Arial"/>
        </w:rPr>
        <w:t>对接俄罗斯联邦政府，争取项目纳入远东开发、北极开发国家重点项目，享受土地、税收、关税、审批等方面的优惠政策；</w:t>
      </w:r>
    </w:p>
    <w:p>
      <w:pPr>
        <w:numPr>
          <w:ilvl w:val="0"/>
          <w:numId w:val="175"/>
        </w:numPr>
        <w:spacing w:before="120" w:after="120" w:line="288" w:lineRule="auto"/>
        <w:rPr>
          <w:rFonts w:hint="eastAsia"/>
        </w:rPr>
      </w:pPr>
      <w:r>
        <w:rPr>
          <w:rFonts w:ascii="Arial" w:hAnsi="Arial" w:eastAsia="等线" w:cs="Arial"/>
        </w:rPr>
        <w:t>对接中国商务部、农业农村部、发改委，争取项目纳入国家农业“走出去”重点项目，享受专项政策与资金支持；</w:t>
      </w:r>
    </w:p>
    <w:p>
      <w:pPr>
        <w:numPr>
          <w:ilvl w:val="0"/>
          <w:numId w:val="176"/>
        </w:numPr>
        <w:spacing w:before="120" w:after="120" w:line="288" w:lineRule="auto"/>
        <w:rPr>
          <w:rFonts w:hint="eastAsia"/>
        </w:rPr>
      </w:pPr>
      <w:r>
        <w:rPr>
          <w:rFonts w:ascii="Arial" w:hAnsi="Arial" w:eastAsia="等线" w:cs="Arial"/>
        </w:rPr>
        <w:t>组建专业政策落地团队，为入园企业提供政策咨询、申报指导一站式服务，确保政策红利全面落地。</w:t>
      </w:r>
    </w:p>
    <w:p>
      <w:pPr>
        <w:spacing w:before="260" w:after="120" w:line="288" w:lineRule="auto"/>
        <w:outlineLvl w:val="3"/>
        <w:rPr>
          <w:rFonts w:hint="eastAsia"/>
        </w:rPr>
      </w:pPr>
      <w:bookmarkStart w:id="95" w:name="heading_95"/>
      <w:r>
        <w:rPr>
          <w:rFonts w:ascii="Arial" w:hAnsi="Arial" w:eastAsia="等线" w:cs="Arial"/>
          <w:b/>
          <w:sz w:val="28"/>
        </w:rPr>
        <w:t>2. 组织保障</w:t>
      </w:r>
      <w:bookmarkEnd w:id="95"/>
    </w:p>
    <w:p>
      <w:pPr>
        <w:numPr>
          <w:ilvl w:val="0"/>
          <w:numId w:val="177"/>
        </w:numPr>
        <w:spacing w:before="120" w:after="120" w:line="288" w:lineRule="auto"/>
        <w:rPr>
          <w:rFonts w:hint="eastAsia"/>
        </w:rPr>
      </w:pPr>
      <w:r>
        <w:rPr>
          <w:rFonts w:ascii="Arial" w:hAnsi="Arial" w:eastAsia="等线" w:cs="Arial"/>
        </w:rPr>
        <w:t>成立由中海外集团牵头的项目领导小组，统筹项目整体推进，协调解决重大问题；</w:t>
      </w:r>
    </w:p>
    <w:p>
      <w:pPr>
        <w:numPr>
          <w:ilvl w:val="0"/>
          <w:numId w:val="178"/>
        </w:numPr>
        <w:spacing w:before="120" w:after="120" w:line="288" w:lineRule="auto"/>
        <w:rPr>
          <w:rFonts w:hint="eastAsia"/>
        </w:rPr>
      </w:pPr>
      <w:r>
        <w:rPr>
          <w:rFonts w:ascii="Arial" w:hAnsi="Arial" w:eastAsia="等线" w:cs="Arial"/>
        </w:rPr>
        <w:t>组建专业化项目执行团队，明确各板块实施主体的责任分工，实行“挂图作战、销号管理”，确保各项工作有序推进；</w:t>
      </w:r>
    </w:p>
    <w:p>
      <w:pPr>
        <w:numPr>
          <w:ilvl w:val="0"/>
          <w:numId w:val="179"/>
        </w:numPr>
        <w:spacing w:before="120" w:after="120" w:line="288" w:lineRule="auto"/>
        <w:rPr>
          <w:rFonts w:hint="eastAsia"/>
        </w:rPr>
      </w:pPr>
      <w:r>
        <w:rPr>
          <w:rFonts w:ascii="Arial" w:hAnsi="Arial" w:eastAsia="等线" w:cs="Arial"/>
        </w:rPr>
        <w:t>建立中俄双边联席会议制度，每季度与俄罗斯相关政府部门开展对接，协调解决项目推进中的跨境政策、审批、通关等问题；</w:t>
      </w:r>
    </w:p>
    <w:p>
      <w:pPr>
        <w:numPr>
          <w:ilvl w:val="0"/>
          <w:numId w:val="180"/>
        </w:numPr>
        <w:spacing w:before="120" w:after="120" w:line="288" w:lineRule="auto"/>
        <w:rPr>
          <w:rFonts w:hint="eastAsia"/>
        </w:rPr>
      </w:pPr>
      <w:r>
        <w:rPr>
          <w:rFonts w:ascii="Arial" w:hAnsi="Arial" w:eastAsia="等线" w:cs="Arial"/>
        </w:rPr>
        <w:t>建立项目绩效考核体系，将各阶段目标任务分解至各部门、各实施主体，实行严格的考核与奖惩机制，保障项目按计划推进。</w:t>
      </w:r>
    </w:p>
    <w:p>
      <w:pPr>
        <w:spacing w:before="260" w:after="120" w:line="288" w:lineRule="auto"/>
        <w:outlineLvl w:val="3"/>
        <w:rPr>
          <w:rFonts w:hint="eastAsia"/>
        </w:rPr>
      </w:pPr>
      <w:bookmarkStart w:id="96" w:name="heading_96"/>
      <w:r>
        <w:rPr>
          <w:rFonts w:ascii="Arial" w:hAnsi="Arial" w:eastAsia="等线" w:cs="Arial"/>
          <w:b/>
          <w:sz w:val="28"/>
        </w:rPr>
        <w:t>3. 资金保障</w:t>
      </w:r>
      <w:bookmarkEnd w:id="96"/>
    </w:p>
    <w:p>
      <w:pPr>
        <w:numPr>
          <w:ilvl w:val="0"/>
          <w:numId w:val="181"/>
        </w:numPr>
        <w:spacing w:before="120" w:after="120" w:line="288" w:lineRule="auto"/>
        <w:rPr>
          <w:rFonts w:hint="eastAsia"/>
        </w:rPr>
      </w:pPr>
      <w:r>
        <w:rPr>
          <w:rFonts w:ascii="Arial" w:hAnsi="Arial" w:eastAsia="等线" w:cs="Arial"/>
        </w:rPr>
        <w:t>搭建“央企自有资金+政策性银行贷款+产业基金+社会资本”的多元化融资体系，保障项目建设资金需求；</w:t>
      </w:r>
    </w:p>
    <w:p>
      <w:pPr>
        <w:numPr>
          <w:ilvl w:val="0"/>
          <w:numId w:val="182"/>
        </w:numPr>
        <w:spacing w:before="120" w:after="120" w:line="288" w:lineRule="auto"/>
        <w:rPr>
          <w:rFonts w:hint="eastAsia"/>
        </w:rPr>
      </w:pPr>
      <w:r>
        <w:rPr>
          <w:rFonts w:ascii="Arial" w:hAnsi="Arial" w:eastAsia="等线" w:cs="Arial"/>
        </w:rPr>
        <w:t>中海外集团落实首期自有资金，重点保障园区基建与公共服务平台建设，为项目提供信用背书与融资增信；</w:t>
      </w:r>
    </w:p>
    <w:p>
      <w:pPr>
        <w:numPr>
          <w:ilvl w:val="0"/>
          <w:numId w:val="183"/>
        </w:numPr>
        <w:spacing w:before="120" w:after="120" w:line="288" w:lineRule="auto"/>
        <w:rPr>
          <w:rFonts w:hint="eastAsia"/>
        </w:rPr>
      </w:pPr>
      <w:r>
        <w:rPr>
          <w:rFonts w:ascii="Arial" w:hAnsi="Arial" w:eastAsia="等线" w:cs="Arial"/>
        </w:rPr>
        <w:t>对接中俄两国开发性金融机构，争取跨境农业专项长期低息贷款，优化融资结构，降低融资成本；</w:t>
      </w:r>
    </w:p>
    <w:p>
      <w:pPr>
        <w:numPr>
          <w:ilvl w:val="0"/>
          <w:numId w:val="184"/>
        </w:numPr>
        <w:spacing w:before="120" w:after="120" w:line="288" w:lineRule="auto"/>
        <w:rPr>
          <w:rFonts w:hint="eastAsia"/>
        </w:rPr>
      </w:pPr>
      <w:r>
        <w:rPr>
          <w:rFonts w:ascii="Arial" w:hAnsi="Arial" w:eastAsia="等线" w:cs="Arial"/>
        </w:rPr>
        <w:t>发起设立中俄跨境农业产业基金，为入园企业提供创业投资、流动资金贷款、供应链金融服务，解决企业融资难题。</w:t>
      </w:r>
    </w:p>
    <w:p>
      <w:pPr>
        <w:spacing w:before="260" w:after="120" w:line="288" w:lineRule="auto"/>
        <w:outlineLvl w:val="3"/>
        <w:rPr>
          <w:rFonts w:hint="eastAsia"/>
        </w:rPr>
      </w:pPr>
      <w:bookmarkStart w:id="97" w:name="heading_97"/>
      <w:r>
        <w:rPr>
          <w:rFonts w:ascii="Arial" w:hAnsi="Arial" w:eastAsia="等线" w:cs="Arial"/>
          <w:b/>
          <w:sz w:val="28"/>
        </w:rPr>
        <w:t>4. 技术保障</w:t>
      </w:r>
      <w:bookmarkEnd w:id="97"/>
    </w:p>
    <w:p>
      <w:pPr>
        <w:numPr>
          <w:ilvl w:val="0"/>
          <w:numId w:val="185"/>
        </w:numPr>
        <w:spacing w:before="120" w:after="120" w:line="288" w:lineRule="auto"/>
        <w:rPr>
          <w:rFonts w:hint="eastAsia"/>
        </w:rPr>
      </w:pPr>
      <w:r>
        <w:rPr>
          <w:rFonts w:ascii="Arial" w:hAnsi="Arial" w:eastAsia="等线" w:cs="Arial"/>
        </w:rPr>
        <w:t>搭建中俄跨境农业技术研发平台，与中国农科院、俄罗斯农业科学院、哈尔滨工程大学等科研院所建立长期合作，开展品种繁育、种植技术、农机装备、智能航运等技术研发与本土化适配；</w:t>
      </w:r>
    </w:p>
    <w:p>
      <w:pPr>
        <w:numPr>
          <w:ilvl w:val="0"/>
          <w:numId w:val="186"/>
        </w:numPr>
        <w:spacing w:before="120" w:after="120" w:line="288" w:lineRule="auto"/>
        <w:rPr>
          <w:rFonts w:hint="eastAsia"/>
        </w:rPr>
      </w:pPr>
      <w:r>
        <w:rPr>
          <w:rFonts w:ascii="Arial" w:hAnsi="Arial" w:eastAsia="等线" w:cs="Arial"/>
        </w:rPr>
        <w:t>引入中国先进的规模化种植、农产品加工、农机制造、绿色化工技术，推动中国技术与标准出海，提升项目核心竞争力；</w:t>
      </w:r>
    </w:p>
    <w:p>
      <w:pPr>
        <w:numPr>
          <w:ilvl w:val="0"/>
          <w:numId w:val="187"/>
        </w:numPr>
        <w:spacing w:before="120" w:after="120" w:line="288" w:lineRule="auto"/>
        <w:rPr>
          <w:rFonts w:hint="eastAsia"/>
        </w:rPr>
      </w:pPr>
      <w:r>
        <w:rPr>
          <w:rFonts w:ascii="Arial" w:hAnsi="Arial" w:eastAsia="等线" w:cs="Arial"/>
        </w:rPr>
        <w:t>分阶段推进全产业链数字化智能化体系建设，实现种植、加工、物流、园区运营全流程智能化管控，提升运营效率；</w:t>
      </w:r>
    </w:p>
    <w:p>
      <w:pPr>
        <w:numPr>
          <w:ilvl w:val="0"/>
          <w:numId w:val="188"/>
        </w:numPr>
        <w:spacing w:before="120" w:after="120" w:line="288" w:lineRule="auto"/>
        <w:rPr>
          <w:rFonts w:hint="eastAsia"/>
        </w:rPr>
      </w:pPr>
      <w:r>
        <w:rPr>
          <w:rFonts w:ascii="Arial" w:hAnsi="Arial" w:eastAsia="等线" w:cs="Arial"/>
        </w:rPr>
        <w:t>组建专业化技术团队，引进国内外高端技术人才，建立技术人才激励机制，为项目提供持续的技术支撑。</w:t>
      </w:r>
    </w:p>
    <w:p>
      <w:pPr>
        <w:spacing w:before="260" w:after="120" w:line="288" w:lineRule="auto"/>
        <w:outlineLvl w:val="3"/>
        <w:rPr>
          <w:rFonts w:hint="eastAsia"/>
        </w:rPr>
      </w:pPr>
      <w:bookmarkStart w:id="98" w:name="heading_98"/>
      <w:r>
        <w:rPr>
          <w:rFonts w:ascii="Arial" w:hAnsi="Arial" w:eastAsia="等线" w:cs="Arial"/>
          <w:b/>
          <w:sz w:val="28"/>
        </w:rPr>
        <w:t>5. 人才保障</w:t>
      </w:r>
      <w:bookmarkEnd w:id="98"/>
    </w:p>
    <w:p>
      <w:pPr>
        <w:numPr>
          <w:ilvl w:val="0"/>
          <w:numId w:val="189"/>
        </w:numPr>
        <w:spacing w:before="120" w:after="120" w:line="288" w:lineRule="auto"/>
        <w:rPr>
          <w:rFonts w:hint="eastAsia"/>
        </w:rPr>
      </w:pPr>
      <w:r>
        <w:rPr>
          <w:rFonts w:ascii="Arial" w:hAnsi="Arial" w:eastAsia="等线" w:cs="Arial"/>
        </w:rPr>
        <w:t>与中俄两国高校、职业院校合作开展定向人才培养，建立人才实训基地，为项目培养农业、农机、化工、航运、管理等专业人才；</w:t>
      </w:r>
    </w:p>
    <w:p>
      <w:pPr>
        <w:numPr>
          <w:ilvl w:val="0"/>
          <w:numId w:val="190"/>
        </w:numPr>
        <w:spacing w:before="120" w:after="120" w:line="288" w:lineRule="auto"/>
        <w:rPr>
          <w:rFonts w:hint="eastAsia"/>
        </w:rPr>
      </w:pPr>
      <w:r>
        <w:rPr>
          <w:rFonts w:ascii="Arial" w:hAnsi="Arial" w:eastAsia="等线" w:cs="Arial"/>
        </w:rPr>
        <w:t>制定具有市场竞争力的薪酬福利与激励体系，引进国内外高端管理与技术人才，打造专业化、国际化的运营团队；</w:t>
      </w:r>
    </w:p>
    <w:p>
      <w:pPr>
        <w:numPr>
          <w:ilvl w:val="0"/>
          <w:numId w:val="191"/>
        </w:numPr>
        <w:spacing w:before="120" w:after="120" w:line="288" w:lineRule="auto"/>
        <w:rPr>
          <w:rFonts w:hint="eastAsia"/>
        </w:rPr>
      </w:pPr>
      <w:r>
        <w:rPr>
          <w:rFonts w:ascii="Arial" w:hAnsi="Arial" w:eastAsia="等线" w:cs="Arial"/>
        </w:rPr>
        <w:t>开展中俄双语、跨境合规、专业技能常态化培训，每年培训时长不少于40学时，提升员工专业能力与跨文化运营能力；</w:t>
      </w:r>
    </w:p>
    <w:p>
      <w:pPr>
        <w:numPr>
          <w:ilvl w:val="0"/>
          <w:numId w:val="192"/>
        </w:numPr>
        <w:spacing w:before="120" w:after="120" w:line="288" w:lineRule="auto"/>
        <w:rPr>
          <w:rFonts w:hint="eastAsia"/>
        </w:rPr>
      </w:pPr>
      <w:r>
        <w:rPr>
          <w:rFonts w:ascii="Arial" w:hAnsi="Arial" w:eastAsia="等线" w:cs="Arial"/>
        </w:rPr>
        <w:t>推动中俄人才双向交流，培养兼具中俄双背景、熟悉两国政策与市场的复合型人才，保障项目属地化运营需求。</w:t>
      </w:r>
    </w:p>
    <w:p>
      <w:pPr>
        <w:spacing w:before="320" w:after="120" w:line="288" w:lineRule="auto"/>
        <w:outlineLvl w:val="1"/>
        <w:rPr>
          <w:rFonts w:hint="eastAsia"/>
        </w:rPr>
      </w:pPr>
      <w:bookmarkStart w:id="99" w:name="heading_99"/>
      <w:r>
        <w:rPr>
          <w:rFonts w:ascii="Arial" w:hAnsi="Arial" w:eastAsia="等线" w:cs="Arial"/>
          <w:b/>
          <w:sz w:val="32"/>
        </w:rPr>
        <w:t>十一、结论与建议</w:t>
      </w:r>
      <w:bookmarkEnd w:id="99"/>
    </w:p>
    <w:p>
      <w:pPr>
        <w:spacing w:before="300" w:after="120" w:line="288" w:lineRule="auto"/>
        <w:outlineLvl w:val="2"/>
        <w:rPr>
          <w:rFonts w:hint="eastAsia"/>
        </w:rPr>
      </w:pPr>
      <w:bookmarkStart w:id="100" w:name="heading_100"/>
      <w:r>
        <w:rPr>
          <w:rFonts w:ascii="Arial" w:hAnsi="Arial" w:eastAsia="等线" w:cs="Arial"/>
          <w:b/>
          <w:sz w:val="30"/>
        </w:rPr>
        <w:t>（一）规划结论</w:t>
      </w:r>
      <w:bookmarkEnd w:id="100"/>
    </w:p>
    <w:p>
      <w:pPr>
        <w:spacing w:before="120" w:after="120" w:line="288" w:lineRule="auto"/>
        <w:rPr>
          <w:rFonts w:hint="eastAsia"/>
        </w:rPr>
      </w:pPr>
      <w:r>
        <w:rPr>
          <w:rFonts w:ascii="Arial" w:hAnsi="Arial" w:eastAsia="等线" w:cs="Arial"/>
        </w:rPr>
        <w:t>本规划以保障国家粮食安全为核心使命，以中俄新时代全面战略协作伙伴关系为依托，基于俄罗斯优质耕地资源禀赋，构建了“种植-加工-配套-物流-贸易”全闭环的跨境农业产业链体系，同步配套建设北方海航道+内河航运低成本粮食出口通道，全面破解俄罗斯对华粮食出口物流瓶颈。</w:t>
      </w:r>
    </w:p>
    <w:p>
      <w:pPr>
        <w:spacing w:before="120" w:after="120" w:line="288" w:lineRule="auto"/>
        <w:rPr>
          <w:rFonts w:hint="eastAsia"/>
        </w:rPr>
      </w:pPr>
      <w:r>
        <w:rPr>
          <w:rFonts w:ascii="Arial" w:hAnsi="Arial" w:eastAsia="等线" w:cs="Arial"/>
        </w:rPr>
        <w:t>规划内容全面契合中俄两国农业合作、远东开发、北极开发的战略方向，政策合规性充分；所有产能、投资、效益数据均经过严谨测算，与俄罗斯农业生产实际、物流航运市场现状高度匹配，数据合理、严谨、可落地；项目经济效益显著，投资回报稳定，抗风险能力强，同时具备突出的社会效益、生态效益与战略效益。</w:t>
      </w:r>
    </w:p>
    <w:p>
      <w:pPr>
        <w:spacing w:before="120" w:after="120" w:line="288" w:lineRule="auto"/>
        <w:rPr>
          <w:rFonts w:hint="eastAsia"/>
        </w:rPr>
      </w:pPr>
      <w:r>
        <w:rPr>
          <w:rFonts w:ascii="Arial" w:hAnsi="Arial" w:eastAsia="等线" w:cs="Arial"/>
        </w:rPr>
        <w:t>综上，俄罗斯耕地全产业链开发项目具备完全的可行性，项目落地后将成为国家级粮食安全海外核心保障基地、中俄农业全产业链合作标杆、中资企业抱团出海示范平台，对深化中俄新时代全面战略协作伙伴关系、保障国家粮食安全、推动中国优势产业出海具有重大的战略意义与现实价值。</w:t>
      </w:r>
    </w:p>
    <w:p>
      <w:pPr>
        <w:spacing w:before="300" w:after="120" w:line="288" w:lineRule="auto"/>
        <w:outlineLvl w:val="2"/>
        <w:rPr>
          <w:rFonts w:hint="eastAsia"/>
        </w:rPr>
      </w:pPr>
      <w:bookmarkStart w:id="101" w:name="heading_101"/>
      <w:r>
        <w:rPr>
          <w:rFonts w:ascii="Arial" w:hAnsi="Arial" w:eastAsia="等线" w:cs="Arial"/>
          <w:b/>
          <w:sz w:val="30"/>
        </w:rPr>
        <w:t>（二）实施建议</w:t>
      </w:r>
      <w:bookmarkEnd w:id="101"/>
    </w:p>
    <w:p>
      <w:pPr>
        <w:numPr>
          <w:ilvl w:val="0"/>
          <w:numId w:val="193"/>
        </w:numPr>
        <w:spacing w:before="120" w:after="120" w:line="288" w:lineRule="auto"/>
        <w:rPr>
          <w:rFonts w:hint="eastAsia"/>
        </w:rPr>
      </w:pPr>
      <w:r>
        <w:rPr>
          <w:rFonts w:ascii="Arial" w:hAnsi="Arial" w:eastAsia="等线" w:cs="Arial"/>
          <w:b/>
        </w:rPr>
        <w:t>加快顶层政策对接，锁定双边政策红利</w:t>
      </w:r>
      <w:r>
        <w:rPr>
          <w:rFonts w:ascii="Arial" w:hAnsi="Arial" w:eastAsia="等线" w:cs="Arial"/>
        </w:rPr>
        <w:t>：建议立即启动中俄双边高层对接，推动项目纳入中俄政府投资合作委员会重点项目清单与中俄总理定期会晤联合公报成果，完成三大境外经贸合作区申报认定，锁定15年政策稳定性，争取中俄两国专项政策支持。</w:t>
      </w:r>
    </w:p>
    <w:p>
      <w:pPr>
        <w:numPr>
          <w:ilvl w:val="0"/>
          <w:numId w:val="194"/>
        </w:numPr>
        <w:spacing w:before="120" w:after="120" w:line="288" w:lineRule="auto"/>
        <w:rPr>
          <w:rFonts w:hint="eastAsia"/>
        </w:rPr>
      </w:pPr>
      <w:r>
        <w:rPr>
          <w:rFonts w:ascii="Arial" w:hAnsi="Arial" w:eastAsia="等线" w:cs="Arial"/>
          <w:b/>
        </w:rPr>
        <w:t>优先启动资源确权与试点工程，实现早落地早见效</w:t>
      </w:r>
      <w:r>
        <w:rPr>
          <w:rFonts w:ascii="Arial" w:hAnsi="Arial" w:eastAsia="等线" w:cs="Arial"/>
        </w:rPr>
        <w:t>：建议优先启动耕地权属确权工作，同步推进远东7000万亩耕地试点种植、马尔科沃工业园区样板段建设、伏尔加河与鄂毕河航运试点工程，优先落地见效，为后续全面扩能奠定基础。</w:t>
      </w:r>
    </w:p>
    <w:p>
      <w:pPr>
        <w:numPr>
          <w:ilvl w:val="0"/>
          <w:numId w:val="195"/>
        </w:numPr>
        <w:spacing w:before="120" w:after="120" w:line="288" w:lineRule="auto"/>
        <w:rPr>
          <w:rFonts w:hint="eastAsia"/>
        </w:rPr>
      </w:pPr>
      <w:r>
        <w:rPr>
          <w:rFonts w:ascii="Arial" w:hAnsi="Arial" w:eastAsia="等线" w:cs="Arial"/>
          <w:b/>
        </w:rPr>
        <w:t>加快龙头企业招商，实现全产业链协同落地</w:t>
      </w:r>
      <w:r>
        <w:rPr>
          <w:rFonts w:ascii="Arial" w:hAnsi="Arial" w:eastAsia="等线" w:cs="Arial"/>
        </w:rPr>
        <w:t>：建议按“龙头引领、全链招商”策略，优先引入国内种植、粮油加工、农机制造、化工、物流领域龙头企业，签订长期入园协议，锁定上下游协同合作，确保5年内实现全链条原料100%本土化供应。</w:t>
      </w:r>
    </w:p>
    <w:p>
      <w:pPr>
        <w:numPr>
          <w:ilvl w:val="0"/>
          <w:numId w:val="196"/>
        </w:numPr>
        <w:spacing w:before="120" w:after="120" w:line="288" w:lineRule="auto"/>
        <w:rPr>
          <w:rFonts w:hint="eastAsia"/>
        </w:rPr>
      </w:pPr>
      <w:r>
        <w:rPr>
          <w:rFonts w:ascii="Arial" w:hAnsi="Arial" w:eastAsia="等线" w:cs="Arial"/>
          <w:b/>
        </w:rPr>
        <w:t>提前布局物流航运体系，破解核心瓶颈</w:t>
      </w:r>
      <w:r>
        <w:rPr>
          <w:rFonts w:ascii="Arial" w:hAnsi="Arial" w:eastAsia="等线" w:cs="Arial"/>
        </w:rPr>
        <w:t>：建议提前与俄罗斯原子能集团、俄铁、俄罗斯内河航运局签订长期合作协议，锁定北极航道破冰服务、铁路兜底运力、内河航道通行配额；提前启动船舶设计与订购，同步推进核心港口与集散节点建设，确保物流体系与耕地开发进度精准匹配。</w:t>
      </w:r>
    </w:p>
    <w:p>
      <w:pPr>
        <w:numPr>
          <w:ilvl w:val="0"/>
          <w:numId w:val="197"/>
        </w:numPr>
        <w:spacing w:before="120" w:after="120" w:line="288" w:lineRule="auto"/>
        <w:rPr>
          <w:rFonts w:hint="eastAsia"/>
        </w:rPr>
      </w:pPr>
      <w:r>
        <w:rPr>
          <w:rFonts w:ascii="Arial" w:hAnsi="Arial" w:eastAsia="等线" w:cs="Arial"/>
          <w:b/>
        </w:rPr>
        <w:t>完善金融配套体系，强化资金保障</w:t>
      </w:r>
      <w:r>
        <w:rPr>
          <w:rFonts w:ascii="Arial" w:hAnsi="Arial" w:eastAsia="等线" w:cs="Arial"/>
        </w:rPr>
        <w:t>：建议立即对接国家开发银行、进出口银行，申请跨境农业专项贷款；发起设立中俄跨境农业产业基金，搭建境内集中结算平台，完善供应链金融、汇率对冲、专属保险等金融服务，为项目建设与入园企业运营提供全方位金融保障。</w:t>
      </w:r>
    </w:p>
    <w:p>
      <w:pPr>
        <w:numPr>
          <w:ilvl w:val="0"/>
          <w:numId w:val="198"/>
        </w:numPr>
        <w:spacing w:before="120" w:after="120" w:line="288" w:lineRule="auto"/>
        <w:rPr>
          <w:rFonts w:hint="eastAsia"/>
        </w:rPr>
      </w:pPr>
      <w:r>
        <w:rPr>
          <w:rFonts w:ascii="Arial" w:hAnsi="Arial" w:eastAsia="等线" w:cs="Arial"/>
          <w:b/>
        </w:rPr>
        <w:t>建立中俄联合工作机制，保障项目顺利推进</w:t>
      </w:r>
      <w:r>
        <w:rPr>
          <w:rFonts w:ascii="Arial" w:hAnsi="Arial" w:eastAsia="等线" w:cs="Arial"/>
        </w:rPr>
        <w:t>：建议成立中俄联合项目工作小组，统筹协调项目审批、政策对接、跨境通关、通航协调等相关事宜，建立常态化沟通与协同处置机制，及时解决项目推进中的各类问题，保障项目按规划顺利落地实施。</w:t>
      </w:r>
    </w:p>
    <w:p>
      <w:pPr>
        <w:spacing w:before="120" w:after="120" w:line="288" w:lineRule="auto"/>
        <w:rPr>
          <w:rFonts w:hint="eastAsia"/>
        </w:rPr>
      </w:pPr>
    </w:p>
    <w:sectPr>
      <w:headerReference r:id="rId5" w:type="default"/>
      <w:footerReference r:id="rId6" w:type="default"/>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35799"/>
    <w:multiLevelType w:val="multilevel"/>
    <w:tmpl w:val="0033579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3062DD6"/>
    <w:multiLevelType w:val="multilevel"/>
    <w:tmpl w:val="03062DD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3754723"/>
    <w:multiLevelType w:val="multilevel"/>
    <w:tmpl w:val="03754723"/>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03864F65"/>
    <w:multiLevelType w:val="multilevel"/>
    <w:tmpl w:val="03864F65"/>
    <w:lvl w:ilvl="0" w:tentative="0">
      <w:start w:val="6"/>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44B5611"/>
    <w:multiLevelType w:val="multilevel"/>
    <w:tmpl w:val="044B5611"/>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52D3155"/>
    <w:multiLevelType w:val="multilevel"/>
    <w:tmpl w:val="052D3155"/>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5DD2A69"/>
    <w:multiLevelType w:val="multilevel"/>
    <w:tmpl w:val="05DD2A69"/>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6191471"/>
    <w:multiLevelType w:val="multilevel"/>
    <w:tmpl w:val="06191471"/>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06EC4B66"/>
    <w:multiLevelType w:val="multilevel"/>
    <w:tmpl w:val="06EC4B6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92B5A43"/>
    <w:multiLevelType w:val="multilevel"/>
    <w:tmpl w:val="092B5A43"/>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09BD48BA"/>
    <w:multiLevelType w:val="multilevel"/>
    <w:tmpl w:val="09BD48B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09BF0BE2"/>
    <w:multiLevelType w:val="multilevel"/>
    <w:tmpl w:val="09BF0BE2"/>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0A34142C"/>
    <w:multiLevelType w:val="multilevel"/>
    <w:tmpl w:val="0A34142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0AA1780A"/>
    <w:multiLevelType w:val="multilevel"/>
    <w:tmpl w:val="0AA1780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0AD06E54"/>
    <w:multiLevelType w:val="multilevel"/>
    <w:tmpl w:val="0AD06E54"/>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0B335FA9"/>
    <w:multiLevelType w:val="multilevel"/>
    <w:tmpl w:val="0B335FA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0B654595"/>
    <w:multiLevelType w:val="multilevel"/>
    <w:tmpl w:val="0B65459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BB251E3"/>
    <w:multiLevelType w:val="multilevel"/>
    <w:tmpl w:val="0BB251E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0C2776E5"/>
    <w:multiLevelType w:val="multilevel"/>
    <w:tmpl w:val="0C2776E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0C5C6020"/>
    <w:multiLevelType w:val="multilevel"/>
    <w:tmpl w:val="0C5C602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0D732A1C"/>
    <w:multiLevelType w:val="multilevel"/>
    <w:tmpl w:val="0D732A1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0E323AC0"/>
    <w:multiLevelType w:val="multilevel"/>
    <w:tmpl w:val="0E323AC0"/>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0F015800"/>
    <w:multiLevelType w:val="multilevel"/>
    <w:tmpl w:val="0F01580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0F4A2E3F"/>
    <w:multiLevelType w:val="multilevel"/>
    <w:tmpl w:val="0F4A2E3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108608E3"/>
    <w:multiLevelType w:val="multilevel"/>
    <w:tmpl w:val="108608E3"/>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10A41BC4"/>
    <w:multiLevelType w:val="multilevel"/>
    <w:tmpl w:val="10A41BC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10EB2862"/>
    <w:multiLevelType w:val="multilevel"/>
    <w:tmpl w:val="10EB286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11272817"/>
    <w:multiLevelType w:val="multilevel"/>
    <w:tmpl w:val="1127281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112E455E"/>
    <w:multiLevelType w:val="multilevel"/>
    <w:tmpl w:val="112E455E"/>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11453AD6"/>
    <w:multiLevelType w:val="multilevel"/>
    <w:tmpl w:val="11453AD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1235374F"/>
    <w:multiLevelType w:val="multilevel"/>
    <w:tmpl w:val="1235374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
    <w:nsid w:val="124B77A3"/>
    <w:multiLevelType w:val="multilevel"/>
    <w:tmpl w:val="124B77A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127B328E"/>
    <w:multiLevelType w:val="multilevel"/>
    <w:tmpl w:val="127B328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
    <w:nsid w:val="132656BD"/>
    <w:multiLevelType w:val="multilevel"/>
    <w:tmpl w:val="132656B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
    <w:nsid w:val="147920F9"/>
    <w:multiLevelType w:val="multilevel"/>
    <w:tmpl w:val="147920F9"/>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14D4452A"/>
    <w:multiLevelType w:val="multilevel"/>
    <w:tmpl w:val="14D4452A"/>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
    <w:nsid w:val="16847EDA"/>
    <w:multiLevelType w:val="multilevel"/>
    <w:tmpl w:val="16847EDA"/>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
    <w:nsid w:val="17816B98"/>
    <w:multiLevelType w:val="multilevel"/>
    <w:tmpl w:val="17816B98"/>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
    <w:nsid w:val="18DF6894"/>
    <w:multiLevelType w:val="multilevel"/>
    <w:tmpl w:val="18DF689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
    <w:nsid w:val="191B53C4"/>
    <w:multiLevelType w:val="multilevel"/>
    <w:tmpl w:val="191B53C4"/>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
    <w:nsid w:val="192A291A"/>
    <w:multiLevelType w:val="multilevel"/>
    <w:tmpl w:val="192A291A"/>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
    <w:nsid w:val="1A2376FA"/>
    <w:multiLevelType w:val="multilevel"/>
    <w:tmpl w:val="1A2376F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
    <w:nsid w:val="1A526E9A"/>
    <w:multiLevelType w:val="multilevel"/>
    <w:tmpl w:val="1A526E9A"/>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3">
    <w:nsid w:val="1B205D4B"/>
    <w:multiLevelType w:val="multilevel"/>
    <w:tmpl w:val="1B205D4B"/>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1B2C1622"/>
    <w:multiLevelType w:val="multilevel"/>
    <w:tmpl w:val="1B2C16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1B682B2A"/>
    <w:multiLevelType w:val="multilevel"/>
    <w:tmpl w:val="1B682B2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
    <w:nsid w:val="1C550E3E"/>
    <w:multiLevelType w:val="multilevel"/>
    <w:tmpl w:val="1C550E3E"/>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1CC32D19"/>
    <w:multiLevelType w:val="multilevel"/>
    <w:tmpl w:val="1CC32D1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
    <w:nsid w:val="1D711ECA"/>
    <w:multiLevelType w:val="multilevel"/>
    <w:tmpl w:val="1D711EC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
    <w:nsid w:val="1DF44F8B"/>
    <w:multiLevelType w:val="multilevel"/>
    <w:tmpl w:val="1DF44F8B"/>
    <w:lvl w:ilvl="0" w:tentative="0">
      <w:start w:val="6"/>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
    <w:nsid w:val="1ECC387A"/>
    <w:multiLevelType w:val="multilevel"/>
    <w:tmpl w:val="1ECC387A"/>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
    <w:nsid w:val="1F177901"/>
    <w:multiLevelType w:val="multilevel"/>
    <w:tmpl w:val="1F177901"/>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
    <w:nsid w:val="1F6F2778"/>
    <w:multiLevelType w:val="multilevel"/>
    <w:tmpl w:val="1F6F2778"/>
    <w:lvl w:ilvl="0" w:tentative="0">
      <w:start w:val="6"/>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
    <w:nsid w:val="228A398D"/>
    <w:multiLevelType w:val="multilevel"/>
    <w:tmpl w:val="228A398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23135706"/>
    <w:multiLevelType w:val="multilevel"/>
    <w:tmpl w:val="23135706"/>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
    <w:nsid w:val="24EB07FB"/>
    <w:multiLevelType w:val="multilevel"/>
    <w:tmpl w:val="24EB07FB"/>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
    <w:nsid w:val="26E900E7"/>
    <w:multiLevelType w:val="multilevel"/>
    <w:tmpl w:val="26E900E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
    <w:nsid w:val="27F355A6"/>
    <w:multiLevelType w:val="multilevel"/>
    <w:tmpl w:val="27F355A6"/>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
    <w:nsid w:val="29474576"/>
    <w:multiLevelType w:val="multilevel"/>
    <w:tmpl w:val="29474576"/>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
    <w:nsid w:val="29FA0D91"/>
    <w:multiLevelType w:val="multilevel"/>
    <w:tmpl w:val="29FA0D91"/>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
    <w:nsid w:val="2B4E1B7A"/>
    <w:multiLevelType w:val="multilevel"/>
    <w:tmpl w:val="2B4E1B7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
    <w:nsid w:val="2B8547A2"/>
    <w:multiLevelType w:val="multilevel"/>
    <w:tmpl w:val="2B8547A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
    <w:nsid w:val="2BEE7C10"/>
    <w:multiLevelType w:val="multilevel"/>
    <w:tmpl w:val="2BEE7C1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
    <w:nsid w:val="2C382E69"/>
    <w:multiLevelType w:val="multilevel"/>
    <w:tmpl w:val="2C382E69"/>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
    <w:nsid w:val="2CC41CB1"/>
    <w:multiLevelType w:val="multilevel"/>
    <w:tmpl w:val="2CC41CB1"/>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
    <w:nsid w:val="2D4C0AEA"/>
    <w:multiLevelType w:val="multilevel"/>
    <w:tmpl w:val="2D4C0AEA"/>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
    <w:nsid w:val="2D530F11"/>
    <w:multiLevelType w:val="multilevel"/>
    <w:tmpl w:val="2D530F11"/>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7">
    <w:nsid w:val="2DD507EB"/>
    <w:multiLevelType w:val="multilevel"/>
    <w:tmpl w:val="2DD507EB"/>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8">
    <w:nsid w:val="2E873422"/>
    <w:multiLevelType w:val="multilevel"/>
    <w:tmpl w:val="2E8734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9">
    <w:nsid w:val="2FBD1D71"/>
    <w:multiLevelType w:val="multilevel"/>
    <w:tmpl w:val="2FBD1D7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0">
    <w:nsid w:val="2FE77C68"/>
    <w:multiLevelType w:val="multilevel"/>
    <w:tmpl w:val="2FE77C6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1">
    <w:nsid w:val="30823770"/>
    <w:multiLevelType w:val="multilevel"/>
    <w:tmpl w:val="3082377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2">
    <w:nsid w:val="308C2031"/>
    <w:multiLevelType w:val="multilevel"/>
    <w:tmpl w:val="308C203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3">
    <w:nsid w:val="312A5B31"/>
    <w:multiLevelType w:val="multilevel"/>
    <w:tmpl w:val="312A5B31"/>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4">
    <w:nsid w:val="314C61CE"/>
    <w:multiLevelType w:val="multilevel"/>
    <w:tmpl w:val="314C61C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5">
    <w:nsid w:val="326211EB"/>
    <w:multiLevelType w:val="multilevel"/>
    <w:tmpl w:val="326211EB"/>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6">
    <w:nsid w:val="3326663B"/>
    <w:multiLevelType w:val="multilevel"/>
    <w:tmpl w:val="3326663B"/>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7">
    <w:nsid w:val="333F2595"/>
    <w:multiLevelType w:val="multilevel"/>
    <w:tmpl w:val="333F2595"/>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8">
    <w:nsid w:val="33B67922"/>
    <w:multiLevelType w:val="multilevel"/>
    <w:tmpl w:val="33B6792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9">
    <w:nsid w:val="33BF5537"/>
    <w:multiLevelType w:val="multilevel"/>
    <w:tmpl w:val="33BF5537"/>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0">
    <w:nsid w:val="33DD5D6F"/>
    <w:multiLevelType w:val="multilevel"/>
    <w:tmpl w:val="33DD5D6F"/>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1">
    <w:nsid w:val="356D5C48"/>
    <w:multiLevelType w:val="multilevel"/>
    <w:tmpl w:val="356D5C48"/>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2">
    <w:nsid w:val="365E61CB"/>
    <w:multiLevelType w:val="multilevel"/>
    <w:tmpl w:val="365E61CB"/>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3">
    <w:nsid w:val="3736606B"/>
    <w:multiLevelType w:val="multilevel"/>
    <w:tmpl w:val="3736606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4">
    <w:nsid w:val="382E7627"/>
    <w:multiLevelType w:val="multilevel"/>
    <w:tmpl w:val="382E762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5">
    <w:nsid w:val="38B53977"/>
    <w:multiLevelType w:val="multilevel"/>
    <w:tmpl w:val="38B53977"/>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6">
    <w:nsid w:val="39DD14E6"/>
    <w:multiLevelType w:val="multilevel"/>
    <w:tmpl w:val="39DD14E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7">
    <w:nsid w:val="3A230B48"/>
    <w:multiLevelType w:val="multilevel"/>
    <w:tmpl w:val="3A230B48"/>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8">
    <w:nsid w:val="3A4E702A"/>
    <w:multiLevelType w:val="multilevel"/>
    <w:tmpl w:val="3A4E702A"/>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9">
    <w:nsid w:val="3AEA6D91"/>
    <w:multiLevelType w:val="multilevel"/>
    <w:tmpl w:val="3AEA6D91"/>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0">
    <w:nsid w:val="3B0A2535"/>
    <w:multiLevelType w:val="multilevel"/>
    <w:tmpl w:val="3B0A2535"/>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1">
    <w:nsid w:val="3B501DE8"/>
    <w:multiLevelType w:val="multilevel"/>
    <w:tmpl w:val="3B501DE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2">
    <w:nsid w:val="3B793EF5"/>
    <w:multiLevelType w:val="multilevel"/>
    <w:tmpl w:val="3B793EF5"/>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3">
    <w:nsid w:val="3C0716FF"/>
    <w:multiLevelType w:val="multilevel"/>
    <w:tmpl w:val="3C0716FF"/>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4">
    <w:nsid w:val="3CB10636"/>
    <w:multiLevelType w:val="multilevel"/>
    <w:tmpl w:val="3CB1063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5">
    <w:nsid w:val="3DD43D56"/>
    <w:multiLevelType w:val="multilevel"/>
    <w:tmpl w:val="3DD43D5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6">
    <w:nsid w:val="3EB27F07"/>
    <w:multiLevelType w:val="multilevel"/>
    <w:tmpl w:val="3EB27F0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7">
    <w:nsid w:val="3F6E1CDF"/>
    <w:multiLevelType w:val="multilevel"/>
    <w:tmpl w:val="3F6E1CD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8">
    <w:nsid w:val="3FC81619"/>
    <w:multiLevelType w:val="multilevel"/>
    <w:tmpl w:val="3FC81619"/>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9">
    <w:nsid w:val="3FD33DEE"/>
    <w:multiLevelType w:val="multilevel"/>
    <w:tmpl w:val="3FD33DEE"/>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0">
    <w:nsid w:val="409A110D"/>
    <w:multiLevelType w:val="multilevel"/>
    <w:tmpl w:val="409A110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1">
    <w:nsid w:val="4174521C"/>
    <w:multiLevelType w:val="multilevel"/>
    <w:tmpl w:val="4174521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2">
    <w:nsid w:val="41C4335A"/>
    <w:multiLevelType w:val="multilevel"/>
    <w:tmpl w:val="41C4335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3">
    <w:nsid w:val="42602E91"/>
    <w:multiLevelType w:val="multilevel"/>
    <w:tmpl w:val="42602E9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4">
    <w:nsid w:val="427135D2"/>
    <w:multiLevelType w:val="multilevel"/>
    <w:tmpl w:val="427135D2"/>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5">
    <w:nsid w:val="44B92AED"/>
    <w:multiLevelType w:val="multilevel"/>
    <w:tmpl w:val="44B92AED"/>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6">
    <w:nsid w:val="45A3411E"/>
    <w:multiLevelType w:val="multilevel"/>
    <w:tmpl w:val="45A3411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7">
    <w:nsid w:val="46711595"/>
    <w:multiLevelType w:val="multilevel"/>
    <w:tmpl w:val="4671159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8">
    <w:nsid w:val="47083C9C"/>
    <w:multiLevelType w:val="multilevel"/>
    <w:tmpl w:val="47083C9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9">
    <w:nsid w:val="4740378D"/>
    <w:multiLevelType w:val="multilevel"/>
    <w:tmpl w:val="4740378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0">
    <w:nsid w:val="4790335F"/>
    <w:multiLevelType w:val="multilevel"/>
    <w:tmpl w:val="4790335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1">
    <w:nsid w:val="484422B9"/>
    <w:multiLevelType w:val="multilevel"/>
    <w:tmpl w:val="484422B9"/>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2">
    <w:nsid w:val="48F81EDE"/>
    <w:multiLevelType w:val="multilevel"/>
    <w:tmpl w:val="48F81ED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3">
    <w:nsid w:val="49102406"/>
    <w:multiLevelType w:val="multilevel"/>
    <w:tmpl w:val="49102406"/>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4">
    <w:nsid w:val="49520911"/>
    <w:multiLevelType w:val="multilevel"/>
    <w:tmpl w:val="49520911"/>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5">
    <w:nsid w:val="4A277402"/>
    <w:multiLevelType w:val="multilevel"/>
    <w:tmpl w:val="4A27740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6">
    <w:nsid w:val="4A95768F"/>
    <w:multiLevelType w:val="multilevel"/>
    <w:tmpl w:val="4A95768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7">
    <w:nsid w:val="4B1B0B44"/>
    <w:multiLevelType w:val="multilevel"/>
    <w:tmpl w:val="4B1B0B4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8">
    <w:nsid w:val="4C48362F"/>
    <w:multiLevelType w:val="multilevel"/>
    <w:tmpl w:val="4C48362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9">
    <w:nsid w:val="4D23729F"/>
    <w:multiLevelType w:val="multilevel"/>
    <w:tmpl w:val="4D23729F"/>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0">
    <w:nsid w:val="4D847B40"/>
    <w:multiLevelType w:val="multilevel"/>
    <w:tmpl w:val="4D847B40"/>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1">
    <w:nsid w:val="4DB27A90"/>
    <w:multiLevelType w:val="multilevel"/>
    <w:tmpl w:val="4DB27A9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2">
    <w:nsid w:val="4E705DCF"/>
    <w:multiLevelType w:val="multilevel"/>
    <w:tmpl w:val="4E705DC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3">
    <w:nsid w:val="4F6F1CE9"/>
    <w:multiLevelType w:val="multilevel"/>
    <w:tmpl w:val="4F6F1CE9"/>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4">
    <w:nsid w:val="4F900468"/>
    <w:multiLevelType w:val="multilevel"/>
    <w:tmpl w:val="4F900468"/>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5">
    <w:nsid w:val="503709CB"/>
    <w:multiLevelType w:val="multilevel"/>
    <w:tmpl w:val="503709C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6">
    <w:nsid w:val="5129623B"/>
    <w:multiLevelType w:val="multilevel"/>
    <w:tmpl w:val="5129623B"/>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7">
    <w:nsid w:val="52961914"/>
    <w:multiLevelType w:val="multilevel"/>
    <w:tmpl w:val="5296191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8">
    <w:nsid w:val="52E97811"/>
    <w:multiLevelType w:val="multilevel"/>
    <w:tmpl w:val="52E9781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9">
    <w:nsid w:val="53A117CB"/>
    <w:multiLevelType w:val="multilevel"/>
    <w:tmpl w:val="53A117C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0">
    <w:nsid w:val="53C27859"/>
    <w:multiLevelType w:val="multilevel"/>
    <w:tmpl w:val="53C2785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1">
    <w:nsid w:val="53DB48FA"/>
    <w:multiLevelType w:val="multilevel"/>
    <w:tmpl w:val="53DB48FA"/>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2">
    <w:nsid w:val="555B4DBB"/>
    <w:multiLevelType w:val="multilevel"/>
    <w:tmpl w:val="555B4DBB"/>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3">
    <w:nsid w:val="56054F2A"/>
    <w:multiLevelType w:val="multilevel"/>
    <w:tmpl w:val="56054F2A"/>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4">
    <w:nsid w:val="56A36B78"/>
    <w:multiLevelType w:val="multilevel"/>
    <w:tmpl w:val="56A36B7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5">
    <w:nsid w:val="56AA04A7"/>
    <w:multiLevelType w:val="multilevel"/>
    <w:tmpl w:val="56AA04A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6">
    <w:nsid w:val="56BC318A"/>
    <w:multiLevelType w:val="multilevel"/>
    <w:tmpl w:val="56BC318A"/>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7">
    <w:nsid w:val="58057EEE"/>
    <w:multiLevelType w:val="multilevel"/>
    <w:tmpl w:val="58057EE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8">
    <w:nsid w:val="5831150C"/>
    <w:multiLevelType w:val="multilevel"/>
    <w:tmpl w:val="5831150C"/>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9">
    <w:nsid w:val="58760231"/>
    <w:multiLevelType w:val="multilevel"/>
    <w:tmpl w:val="5876023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0">
    <w:nsid w:val="58D40602"/>
    <w:multiLevelType w:val="multilevel"/>
    <w:tmpl w:val="58D40602"/>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1">
    <w:nsid w:val="58DC389F"/>
    <w:multiLevelType w:val="multilevel"/>
    <w:tmpl w:val="58DC389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2">
    <w:nsid w:val="597F319C"/>
    <w:multiLevelType w:val="multilevel"/>
    <w:tmpl w:val="597F319C"/>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3">
    <w:nsid w:val="59A55DB7"/>
    <w:multiLevelType w:val="multilevel"/>
    <w:tmpl w:val="59A55DB7"/>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4">
    <w:nsid w:val="59A844BA"/>
    <w:multiLevelType w:val="multilevel"/>
    <w:tmpl w:val="59A844B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5">
    <w:nsid w:val="59D17993"/>
    <w:multiLevelType w:val="multilevel"/>
    <w:tmpl w:val="59D1799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6">
    <w:nsid w:val="5A2624D8"/>
    <w:multiLevelType w:val="multilevel"/>
    <w:tmpl w:val="5A2624D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7">
    <w:nsid w:val="5AD445CD"/>
    <w:multiLevelType w:val="multilevel"/>
    <w:tmpl w:val="5AD445C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8">
    <w:nsid w:val="5AF35EC1"/>
    <w:multiLevelType w:val="multilevel"/>
    <w:tmpl w:val="5AF35EC1"/>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9">
    <w:nsid w:val="5DD7387A"/>
    <w:multiLevelType w:val="multilevel"/>
    <w:tmpl w:val="5DD7387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0">
    <w:nsid w:val="5E80294A"/>
    <w:multiLevelType w:val="multilevel"/>
    <w:tmpl w:val="5E80294A"/>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1">
    <w:nsid w:val="5FF808F5"/>
    <w:multiLevelType w:val="multilevel"/>
    <w:tmpl w:val="5FF808F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2">
    <w:nsid w:val="60817E87"/>
    <w:multiLevelType w:val="multilevel"/>
    <w:tmpl w:val="60817E8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3">
    <w:nsid w:val="60990C3E"/>
    <w:multiLevelType w:val="multilevel"/>
    <w:tmpl w:val="60990C3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4">
    <w:nsid w:val="613B6F9D"/>
    <w:multiLevelType w:val="multilevel"/>
    <w:tmpl w:val="613B6F9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5">
    <w:nsid w:val="62EF4312"/>
    <w:multiLevelType w:val="multilevel"/>
    <w:tmpl w:val="62EF4312"/>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6">
    <w:nsid w:val="63B14E2E"/>
    <w:multiLevelType w:val="multilevel"/>
    <w:tmpl w:val="63B14E2E"/>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7">
    <w:nsid w:val="64D87547"/>
    <w:multiLevelType w:val="multilevel"/>
    <w:tmpl w:val="64D87547"/>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8">
    <w:nsid w:val="65025A7C"/>
    <w:multiLevelType w:val="multilevel"/>
    <w:tmpl w:val="65025A7C"/>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9">
    <w:nsid w:val="65455594"/>
    <w:multiLevelType w:val="multilevel"/>
    <w:tmpl w:val="6545559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0">
    <w:nsid w:val="656513FE"/>
    <w:multiLevelType w:val="multilevel"/>
    <w:tmpl w:val="656513FE"/>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1">
    <w:nsid w:val="65897686"/>
    <w:multiLevelType w:val="multilevel"/>
    <w:tmpl w:val="65897686"/>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2">
    <w:nsid w:val="66F62C76"/>
    <w:multiLevelType w:val="multilevel"/>
    <w:tmpl w:val="66F62C7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3">
    <w:nsid w:val="67D226B5"/>
    <w:multiLevelType w:val="multilevel"/>
    <w:tmpl w:val="67D226B5"/>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4">
    <w:nsid w:val="6A03309E"/>
    <w:multiLevelType w:val="multilevel"/>
    <w:tmpl w:val="6A03309E"/>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5">
    <w:nsid w:val="6A5A4E13"/>
    <w:multiLevelType w:val="multilevel"/>
    <w:tmpl w:val="6A5A4E1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6">
    <w:nsid w:val="6A7D034F"/>
    <w:multiLevelType w:val="multilevel"/>
    <w:tmpl w:val="6A7D034F"/>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7">
    <w:nsid w:val="6B7A6C99"/>
    <w:multiLevelType w:val="multilevel"/>
    <w:tmpl w:val="6B7A6C9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8">
    <w:nsid w:val="6BF0119A"/>
    <w:multiLevelType w:val="multilevel"/>
    <w:tmpl w:val="6BF0119A"/>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9">
    <w:nsid w:val="6C0F36EF"/>
    <w:multiLevelType w:val="multilevel"/>
    <w:tmpl w:val="6C0F36EF"/>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0">
    <w:nsid w:val="6C3741B6"/>
    <w:multiLevelType w:val="multilevel"/>
    <w:tmpl w:val="6C3741B6"/>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1">
    <w:nsid w:val="6C3F7057"/>
    <w:multiLevelType w:val="multilevel"/>
    <w:tmpl w:val="6C3F7057"/>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2">
    <w:nsid w:val="6C5C61BE"/>
    <w:multiLevelType w:val="multilevel"/>
    <w:tmpl w:val="6C5C61B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3">
    <w:nsid w:val="6CDF04F9"/>
    <w:multiLevelType w:val="multilevel"/>
    <w:tmpl w:val="6CDF04F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4">
    <w:nsid w:val="6D116699"/>
    <w:multiLevelType w:val="multilevel"/>
    <w:tmpl w:val="6D116699"/>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5">
    <w:nsid w:val="6D7A4243"/>
    <w:multiLevelType w:val="multilevel"/>
    <w:tmpl w:val="6D7A4243"/>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6">
    <w:nsid w:val="6DC153CE"/>
    <w:multiLevelType w:val="multilevel"/>
    <w:tmpl w:val="6DC153CE"/>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7">
    <w:nsid w:val="6FEF7FA9"/>
    <w:multiLevelType w:val="multilevel"/>
    <w:tmpl w:val="6FEF7FA9"/>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8">
    <w:nsid w:val="71081A08"/>
    <w:multiLevelType w:val="multilevel"/>
    <w:tmpl w:val="71081A0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9">
    <w:nsid w:val="71120DA0"/>
    <w:multiLevelType w:val="multilevel"/>
    <w:tmpl w:val="71120DA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0">
    <w:nsid w:val="71411FD7"/>
    <w:multiLevelType w:val="multilevel"/>
    <w:tmpl w:val="71411FD7"/>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1">
    <w:nsid w:val="72BA2935"/>
    <w:multiLevelType w:val="multilevel"/>
    <w:tmpl w:val="72BA2935"/>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2">
    <w:nsid w:val="72FA3713"/>
    <w:multiLevelType w:val="multilevel"/>
    <w:tmpl w:val="72FA3713"/>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3">
    <w:nsid w:val="73264D48"/>
    <w:multiLevelType w:val="multilevel"/>
    <w:tmpl w:val="73264D4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4">
    <w:nsid w:val="73B25562"/>
    <w:multiLevelType w:val="multilevel"/>
    <w:tmpl w:val="73B25562"/>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5">
    <w:nsid w:val="779C77EB"/>
    <w:multiLevelType w:val="multilevel"/>
    <w:tmpl w:val="779C77E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6">
    <w:nsid w:val="77CD3A33"/>
    <w:multiLevelType w:val="multilevel"/>
    <w:tmpl w:val="77CD3A3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7">
    <w:nsid w:val="77FA0648"/>
    <w:multiLevelType w:val="multilevel"/>
    <w:tmpl w:val="77FA064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8">
    <w:nsid w:val="78203F1F"/>
    <w:multiLevelType w:val="multilevel"/>
    <w:tmpl w:val="78203F1F"/>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9">
    <w:nsid w:val="788963CE"/>
    <w:multiLevelType w:val="multilevel"/>
    <w:tmpl w:val="788963CE"/>
    <w:lvl w:ilvl="0" w:tentative="0">
      <w:start w:val="6"/>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0">
    <w:nsid w:val="795A4052"/>
    <w:multiLevelType w:val="multilevel"/>
    <w:tmpl w:val="795A4052"/>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1">
    <w:nsid w:val="7BA07FD6"/>
    <w:multiLevelType w:val="multilevel"/>
    <w:tmpl w:val="7BA07FD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2">
    <w:nsid w:val="7C093B2B"/>
    <w:multiLevelType w:val="multilevel"/>
    <w:tmpl w:val="7C093B2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3">
    <w:nsid w:val="7C3E174B"/>
    <w:multiLevelType w:val="multilevel"/>
    <w:tmpl w:val="7C3E174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4">
    <w:nsid w:val="7F0B2EF7"/>
    <w:multiLevelType w:val="multilevel"/>
    <w:tmpl w:val="7F0B2EF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5">
    <w:nsid w:val="7F1F1551"/>
    <w:multiLevelType w:val="multilevel"/>
    <w:tmpl w:val="7F1F155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6">
    <w:nsid w:val="7FB33D83"/>
    <w:multiLevelType w:val="multilevel"/>
    <w:tmpl w:val="7FB33D83"/>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7">
    <w:nsid w:val="7FB75F98"/>
    <w:multiLevelType w:val="multilevel"/>
    <w:tmpl w:val="7FB75F98"/>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05"/>
  </w:num>
  <w:num w:numId="2">
    <w:abstractNumId w:val="81"/>
  </w:num>
  <w:num w:numId="3">
    <w:abstractNumId w:val="50"/>
  </w:num>
  <w:num w:numId="4">
    <w:abstractNumId w:val="158"/>
  </w:num>
  <w:num w:numId="5">
    <w:abstractNumId w:val="76"/>
  </w:num>
  <w:num w:numId="6">
    <w:abstractNumId w:val="3"/>
  </w:num>
  <w:num w:numId="7">
    <w:abstractNumId w:val="39"/>
  </w:num>
  <w:num w:numId="8">
    <w:abstractNumId w:val="46"/>
  </w:num>
  <w:num w:numId="9">
    <w:abstractNumId w:val="111"/>
  </w:num>
  <w:num w:numId="10">
    <w:abstractNumId w:val="131"/>
  </w:num>
  <w:num w:numId="11">
    <w:abstractNumId w:val="190"/>
  </w:num>
  <w:num w:numId="12">
    <w:abstractNumId w:val="170"/>
  </w:num>
  <w:num w:numId="13">
    <w:abstractNumId w:val="75"/>
  </w:num>
  <w:num w:numId="14">
    <w:abstractNumId w:val="57"/>
  </w:num>
  <w:num w:numId="15">
    <w:abstractNumId w:val="150"/>
  </w:num>
  <w:num w:numId="16">
    <w:abstractNumId w:val="4"/>
  </w:num>
  <w:num w:numId="17">
    <w:abstractNumId w:val="176"/>
  </w:num>
  <w:num w:numId="18">
    <w:abstractNumId w:val="109"/>
  </w:num>
  <w:num w:numId="19">
    <w:abstractNumId w:val="178"/>
  </w:num>
  <w:num w:numId="20">
    <w:abstractNumId w:val="27"/>
  </w:num>
  <w:num w:numId="21">
    <w:abstractNumId w:val="192"/>
  </w:num>
  <w:num w:numId="22">
    <w:abstractNumId w:val="34"/>
  </w:num>
  <w:num w:numId="23">
    <w:abstractNumId w:val="148"/>
  </w:num>
  <w:num w:numId="24">
    <w:abstractNumId w:val="42"/>
  </w:num>
  <w:num w:numId="25">
    <w:abstractNumId w:val="36"/>
  </w:num>
  <w:num w:numId="26">
    <w:abstractNumId w:val="5"/>
  </w:num>
  <w:num w:numId="27">
    <w:abstractNumId w:val="79"/>
  </w:num>
  <w:num w:numId="28">
    <w:abstractNumId w:val="85"/>
  </w:num>
  <w:num w:numId="29">
    <w:abstractNumId w:val="54"/>
  </w:num>
  <w:num w:numId="30">
    <w:abstractNumId w:val="136"/>
  </w:num>
  <w:num w:numId="31">
    <w:abstractNumId w:val="104"/>
  </w:num>
  <w:num w:numId="32">
    <w:abstractNumId w:val="52"/>
  </w:num>
  <w:num w:numId="33">
    <w:abstractNumId w:val="128"/>
  </w:num>
  <w:num w:numId="34">
    <w:abstractNumId w:val="13"/>
  </w:num>
  <w:num w:numId="35">
    <w:abstractNumId w:val="60"/>
  </w:num>
  <w:num w:numId="36">
    <w:abstractNumId w:val="149"/>
  </w:num>
  <w:num w:numId="37">
    <w:abstractNumId w:val="22"/>
  </w:num>
  <w:num w:numId="38">
    <w:abstractNumId w:val="12"/>
  </w:num>
  <w:num w:numId="39">
    <w:abstractNumId w:val="102"/>
  </w:num>
  <w:num w:numId="40">
    <w:abstractNumId w:val="106"/>
  </w:num>
  <w:num w:numId="41">
    <w:abstractNumId w:val="20"/>
  </w:num>
  <w:num w:numId="42">
    <w:abstractNumId w:val="195"/>
  </w:num>
  <w:num w:numId="43">
    <w:abstractNumId w:val="145"/>
  </w:num>
  <w:num w:numId="44">
    <w:abstractNumId w:val="108"/>
  </w:num>
  <w:num w:numId="45">
    <w:abstractNumId w:val="194"/>
  </w:num>
  <w:num w:numId="46">
    <w:abstractNumId w:val="101"/>
  </w:num>
  <w:num w:numId="47">
    <w:abstractNumId w:val="185"/>
  </w:num>
  <w:num w:numId="48">
    <w:abstractNumId w:val="121"/>
  </w:num>
  <w:num w:numId="49">
    <w:abstractNumId w:val="151"/>
  </w:num>
  <w:num w:numId="50">
    <w:abstractNumId w:val="129"/>
  </w:num>
  <w:num w:numId="51">
    <w:abstractNumId w:val="30"/>
  </w:num>
  <w:num w:numId="52">
    <w:abstractNumId w:val="193"/>
  </w:num>
  <w:num w:numId="53">
    <w:abstractNumId w:val="107"/>
  </w:num>
  <w:num w:numId="54">
    <w:abstractNumId w:val="152"/>
  </w:num>
  <w:num w:numId="55">
    <w:abstractNumId w:val="167"/>
  </w:num>
  <w:num w:numId="56">
    <w:abstractNumId w:val="1"/>
  </w:num>
  <w:num w:numId="57">
    <w:abstractNumId w:val="115"/>
  </w:num>
  <w:num w:numId="58">
    <w:abstractNumId w:val="165"/>
  </w:num>
  <w:num w:numId="59">
    <w:abstractNumId w:val="15"/>
  </w:num>
  <w:num w:numId="60">
    <w:abstractNumId w:val="61"/>
  </w:num>
  <w:num w:numId="61">
    <w:abstractNumId w:val="31"/>
  </w:num>
  <w:num w:numId="62">
    <w:abstractNumId w:val="154"/>
  </w:num>
  <w:num w:numId="63">
    <w:abstractNumId w:val="97"/>
  </w:num>
  <w:num w:numId="64">
    <w:abstractNumId w:val="116"/>
  </w:num>
  <w:num w:numId="65">
    <w:abstractNumId w:val="127"/>
  </w:num>
  <w:num w:numId="66">
    <w:abstractNumId w:val="144"/>
  </w:num>
  <w:num w:numId="67">
    <w:abstractNumId w:val="41"/>
  </w:num>
  <w:num w:numId="68">
    <w:abstractNumId w:val="169"/>
  </w:num>
  <w:num w:numId="69">
    <w:abstractNumId w:val="47"/>
  </w:num>
  <w:num w:numId="70">
    <w:abstractNumId w:val="88"/>
  </w:num>
  <w:num w:numId="71">
    <w:abstractNumId w:val="124"/>
  </w:num>
  <w:num w:numId="72">
    <w:abstractNumId w:val="87"/>
  </w:num>
  <w:num w:numId="73">
    <w:abstractNumId w:val="171"/>
  </w:num>
  <w:num w:numId="74">
    <w:abstractNumId w:val="65"/>
  </w:num>
  <w:num w:numId="75">
    <w:abstractNumId w:val="123"/>
  </w:num>
  <w:num w:numId="76">
    <w:abstractNumId w:val="6"/>
  </w:num>
  <w:num w:numId="77">
    <w:abstractNumId w:val="163"/>
  </w:num>
  <w:num w:numId="78">
    <w:abstractNumId w:val="55"/>
  </w:num>
  <w:num w:numId="79">
    <w:abstractNumId w:val="125"/>
  </w:num>
  <w:num w:numId="80">
    <w:abstractNumId w:val="32"/>
  </w:num>
  <w:num w:numId="81">
    <w:abstractNumId w:val="69"/>
  </w:num>
  <w:num w:numId="82">
    <w:abstractNumId w:val="186"/>
  </w:num>
  <w:num w:numId="83">
    <w:abstractNumId w:val="159"/>
  </w:num>
  <w:num w:numId="84">
    <w:abstractNumId w:val="122"/>
  </w:num>
  <w:num w:numId="85">
    <w:abstractNumId w:val="172"/>
  </w:num>
  <w:num w:numId="86">
    <w:abstractNumId w:val="33"/>
  </w:num>
  <w:num w:numId="87">
    <w:abstractNumId w:val="62"/>
  </w:num>
  <w:num w:numId="88">
    <w:abstractNumId w:val="137"/>
  </w:num>
  <w:num w:numId="89">
    <w:abstractNumId w:val="110"/>
  </w:num>
  <w:num w:numId="90">
    <w:abstractNumId w:val="179"/>
  </w:num>
  <w:num w:numId="91">
    <w:abstractNumId w:val="37"/>
  </w:num>
  <w:num w:numId="92">
    <w:abstractNumId w:val="160"/>
  </w:num>
  <w:num w:numId="93">
    <w:abstractNumId w:val="80"/>
  </w:num>
  <w:num w:numId="94">
    <w:abstractNumId w:val="126"/>
  </w:num>
  <w:num w:numId="95">
    <w:abstractNumId w:val="188"/>
  </w:num>
  <w:num w:numId="96">
    <w:abstractNumId w:val="35"/>
  </w:num>
  <w:num w:numId="97">
    <w:abstractNumId w:val="73"/>
  </w:num>
  <w:num w:numId="98">
    <w:abstractNumId w:val="51"/>
  </w:num>
  <w:num w:numId="99">
    <w:abstractNumId w:val="138"/>
  </w:num>
  <w:num w:numId="100">
    <w:abstractNumId w:val="68"/>
  </w:num>
  <w:num w:numId="101">
    <w:abstractNumId w:val="18"/>
  </w:num>
  <w:num w:numId="102">
    <w:abstractNumId w:val="78"/>
  </w:num>
  <w:num w:numId="103">
    <w:abstractNumId w:val="96"/>
  </w:num>
  <w:num w:numId="104">
    <w:abstractNumId w:val="100"/>
  </w:num>
  <w:num w:numId="105">
    <w:abstractNumId w:val="162"/>
  </w:num>
  <w:num w:numId="106">
    <w:abstractNumId w:val="21"/>
  </w:num>
  <w:num w:numId="107">
    <w:abstractNumId w:val="177"/>
  </w:num>
  <w:num w:numId="108">
    <w:abstractNumId w:val="166"/>
  </w:num>
  <w:num w:numId="109">
    <w:abstractNumId w:val="64"/>
  </w:num>
  <w:num w:numId="110">
    <w:abstractNumId w:val="114"/>
  </w:num>
  <w:num w:numId="111">
    <w:abstractNumId w:val="82"/>
  </w:num>
  <w:num w:numId="112">
    <w:abstractNumId w:val="43"/>
  </w:num>
  <w:num w:numId="113">
    <w:abstractNumId w:val="142"/>
  </w:num>
  <w:num w:numId="114">
    <w:abstractNumId w:val="196"/>
  </w:num>
  <w:num w:numId="115">
    <w:abstractNumId w:val="189"/>
  </w:num>
  <w:num w:numId="116">
    <w:abstractNumId w:val="155"/>
  </w:num>
  <w:num w:numId="117">
    <w:abstractNumId w:val="63"/>
  </w:num>
  <w:num w:numId="118">
    <w:abstractNumId w:val="89"/>
  </w:num>
  <w:num w:numId="119">
    <w:abstractNumId w:val="133"/>
  </w:num>
  <w:num w:numId="120">
    <w:abstractNumId w:val="113"/>
  </w:num>
  <w:num w:numId="121">
    <w:abstractNumId w:val="174"/>
  </w:num>
  <w:num w:numId="122">
    <w:abstractNumId w:val="48"/>
  </w:num>
  <w:num w:numId="123">
    <w:abstractNumId w:val="134"/>
  </w:num>
  <w:num w:numId="124">
    <w:abstractNumId w:val="10"/>
  </w:num>
  <w:num w:numId="125">
    <w:abstractNumId w:val="146"/>
  </w:num>
  <w:num w:numId="126">
    <w:abstractNumId w:val="28"/>
  </w:num>
  <w:num w:numId="127">
    <w:abstractNumId w:val="161"/>
  </w:num>
  <w:num w:numId="128">
    <w:abstractNumId w:val="14"/>
  </w:num>
  <w:num w:numId="129">
    <w:abstractNumId w:val="99"/>
  </w:num>
  <w:num w:numId="130">
    <w:abstractNumId w:val="66"/>
  </w:num>
  <w:num w:numId="131">
    <w:abstractNumId w:val="143"/>
  </w:num>
  <w:num w:numId="132">
    <w:abstractNumId w:val="93"/>
  </w:num>
  <w:num w:numId="133">
    <w:abstractNumId w:val="9"/>
  </w:num>
  <w:num w:numId="134">
    <w:abstractNumId w:val="92"/>
  </w:num>
  <w:num w:numId="135">
    <w:abstractNumId w:val="86"/>
  </w:num>
  <w:num w:numId="136">
    <w:abstractNumId w:val="175"/>
  </w:num>
  <w:num w:numId="137">
    <w:abstractNumId w:val="90"/>
  </w:num>
  <w:num w:numId="138">
    <w:abstractNumId w:val="157"/>
  </w:num>
  <w:num w:numId="139">
    <w:abstractNumId w:val="141"/>
  </w:num>
  <w:num w:numId="140">
    <w:abstractNumId w:val="71"/>
  </w:num>
  <w:num w:numId="141">
    <w:abstractNumId w:val="130"/>
  </w:num>
  <w:num w:numId="142">
    <w:abstractNumId w:val="112"/>
  </w:num>
  <w:num w:numId="143">
    <w:abstractNumId w:val="26"/>
  </w:num>
  <w:num w:numId="144">
    <w:abstractNumId w:val="197"/>
  </w:num>
  <w:num w:numId="145">
    <w:abstractNumId w:val="91"/>
  </w:num>
  <w:num w:numId="146">
    <w:abstractNumId w:val="70"/>
  </w:num>
  <w:num w:numId="147">
    <w:abstractNumId w:val="84"/>
  </w:num>
  <w:num w:numId="148">
    <w:abstractNumId w:val="118"/>
  </w:num>
  <w:num w:numId="149">
    <w:abstractNumId w:val="29"/>
  </w:num>
  <w:num w:numId="150">
    <w:abstractNumId w:val="183"/>
  </w:num>
  <w:num w:numId="151">
    <w:abstractNumId w:val="187"/>
  </w:num>
  <w:num w:numId="152">
    <w:abstractNumId w:val="191"/>
  </w:num>
  <w:num w:numId="153">
    <w:abstractNumId w:val="19"/>
  </w:num>
  <w:num w:numId="154">
    <w:abstractNumId w:val="135"/>
  </w:num>
  <w:num w:numId="155">
    <w:abstractNumId w:val="45"/>
  </w:num>
  <w:num w:numId="156">
    <w:abstractNumId w:val="103"/>
  </w:num>
  <w:num w:numId="157">
    <w:abstractNumId w:val="181"/>
  </w:num>
  <w:num w:numId="158">
    <w:abstractNumId w:val="184"/>
  </w:num>
  <w:num w:numId="159">
    <w:abstractNumId w:val="98"/>
  </w:num>
  <w:num w:numId="160">
    <w:abstractNumId w:val="58"/>
  </w:num>
  <w:num w:numId="161">
    <w:abstractNumId w:val="156"/>
  </w:num>
  <w:num w:numId="162">
    <w:abstractNumId w:val="7"/>
  </w:num>
  <w:num w:numId="163">
    <w:abstractNumId w:val="120"/>
  </w:num>
  <w:num w:numId="164">
    <w:abstractNumId w:val="119"/>
  </w:num>
  <w:num w:numId="165">
    <w:abstractNumId w:val="2"/>
  </w:num>
  <w:num w:numId="166">
    <w:abstractNumId w:val="67"/>
  </w:num>
  <w:num w:numId="167">
    <w:abstractNumId w:val="180"/>
  </w:num>
  <w:num w:numId="168">
    <w:abstractNumId w:val="140"/>
  </w:num>
  <w:num w:numId="169">
    <w:abstractNumId w:val="40"/>
  </w:num>
  <w:num w:numId="170">
    <w:abstractNumId w:val="182"/>
  </w:num>
  <w:num w:numId="171">
    <w:abstractNumId w:val="77"/>
  </w:num>
  <w:num w:numId="172">
    <w:abstractNumId w:val="168"/>
  </w:num>
  <w:num w:numId="173">
    <w:abstractNumId w:val="72"/>
  </w:num>
  <w:num w:numId="174">
    <w:abstractNumId w:val="83"/>
  </w:num>
  <w:num w:numId="175">
    <w:abstractNumId w:val="147"/>
  </w:num>
  <w:num w:numId="176">
    <w:abstractNumId w:val="25"/>
  </w:num>
  <w:num w:numId="177">
    <w:abstractNumId w:val="173"/>
  </w:num>
  <w:num w:numId="178">
    <w:abstractNumId w:val="44"/>
  </w:num>
  <w:num w:numId="179">
    <w:abstractNumId w:val="56"/>
  </w:num>
  <w:num w:numId="180">
    <w:abstractNumId w:val="38"/>
  </w:num>
  <w:num w:numId="181">
    <w:abstractNumId w:val="16"/>
  </w:num>
  <w:num w:numId="182">
    <w:abstractNumId w:val="0"/>
  </w:num>
  <w:num w:numId="183">
    <w:abstractNumId w:val="153"/>
  </w:num>
  <w:num w:numId="184">
    <w:abstractNumId w:val="8"/>
  </w:num>
  <w:num w:numId="185">
    <w:abstractNumId w:val="74"/>
  </w:num>
  <w:num w:numId="186">
    <w:abstractNumId w:val="139"/>
  </w:num>
  <w:num w:numId="187">
    <w:abstractNumId w:val="23"/>
  </w:num>
  <w:num w:numId="188">
    <w:abstractNumId w:val="53"/>
  </w:num>
  <w:num w:numId="189">
    <w:abstractNumId w:val="117"/>
  </w:num>
  <w:num w:numId="190">
    <w:abstractNumId w:val="94"/>
  </w:num>
  <w:num w:numId="191">
    <w:abstractNumId w:val="17"/>
  </w:num>
  <w:num w:numId="192">
    <w:abstractNumId w:val="95"/>
  </w:num>
  <w:num w:numId="193">
    <w:abstractNumId w:val="24"/>
  </w:num>
  <w:num w:numId="194">
    <w:abstractNumId w:val="59"/>
  </w:num>
  <w:num w:numId="195">
    <w:abstractNumId w:val="132"/>
  </w:num>
  <w:num w:numId="196">
    <w:abstractNumId w:val="164"/>
  </w:num>
  <w:num w:numId="197">
    <w:abstractNumId w:val="11"/>
  </w:num>
  <w:num w:numId="198">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0OTJiYmUwOTk2MjNiMWNmZjBkZmQxMzI1MjExNmYifQ=="/>
  </w:docVars>
  <w:rsids>
    <w:rsidRoot w:val="00AA2EA9"/>
    <w:rsid w:val="00310ECC"/>
    <w:rsid w:val="005C08E2"/>
    <w:rsid w:val="00AA2EA9"/>
    <w:rsid w:val="00E52478"/>
    <w:rsid w:val="1E707F7D"/>
    <w:rsid w:val="21FF36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3429</Words>
  <Characters>19549</Characters>
  <Lines>162</Lines>
  <Paragraphs>45</Paragraphs>
  <TotalTime>258</TotalTime>
  <ScaleCrop>false</ScaleCrop>
  <LinksUpToDate>false</LinksUpToDate>
  <CharactersWithSpaces>22933</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2026-04-09T23:24:00Z</dcterms:created>
  <dc:creator>Apache POI</dc:creator>
  <cp:lastModifiedBy>Dannie: ʚིྀɞ</cp:lastModifiedBy>
  <dcterms:modified xsi:type="dcterms:W3CDTF">2026-04-13T06:47:56Z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CFC4B20B4A8340DBA77A6D7FF8D06718_13</vt:lpwstr>
  </property>
</Properties>
</file>